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настраивать рабочую среду.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pass (рис. 1).</w:t>
      </w:r>
    </w:p>
    <w:p>
      <w:pPr>
        <w:pStyle w:val="CaptionedFigure"/>
      </w:pPr>
      <w:r>
        <w:drawing>
          <wp:inline>
            <wp:extent cx="3733800" cy="2384673"/>
            <wp:effectExtent b="0" l="0" r="0" t="0"/>
            <wp:docPr descr="Установка pas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2391392"/>
            <wp:effectExtent b="0" l="0" r="0" t="0"/>
            <wp:docPr descr="Установка go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Просматриваем список ключей и инициализируем хранилище (рис. 3).</w:t>
      </w:r>
    </w:p>
    <w:p>
      <w:pPr>
        <w:pStyle w:val="CaptionedFigure"/>
      </w:pPr>
      <w:r>
        <w:drawing>
          <wp:inline>
            <wp:extent cx="3733800" cy="1925240"/>
            <wp:effectExtent b="0" l="0" r="0" t="0"/>
            <wp:docPr descr="Просмотр списка ключей и инициализация хранилищ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 и инициализация хранилища</w:t>
      </w:r>
    </w:p>
    <w:p>
      <w:pPr>
        <w:pStyle w:val="BodyText"/>
      </w:pPr>
      <w:r>
        <w:t xml:space="preserve">Создаём структуру git (рис. 4).</w:t>
      </w:r>
    </w:p>
    <w:p>
      <w:pPr>
        <w:pStyle w:val="CaptionedFigure"/>
      </w:pPr>
      <w:r>
        <w:drawing>
          <wp:inline>
            <wp:extent cx="3733800" cy="1337153"/>
            <wp:effectExtent b="0" l="0" r="0" t="0"/>
            <wp:docPr descr="Создание структуры gi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Синхронизируем репозиторий следующими командами. Выполняем pass git pull(рис. 5).</w:t>
      </w:r>
    </w:p>
    <w:p>
      <w:pPr>
        <w:pStyle w:val="CaptionedFigure"/>
      </w:pPr>
      <w:r>
        <w:drawing>
          <wp:inline>
            <wp:extent cx="3733800" cy="152161"/>
            <wp:effectExtent b="0" l="0" r="0" t="0"/>
            <wp:docPr descr="Pass git pull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Pass git pull</w:t>
      </w:r>
    </w:p>
    <w:p>
      <w:pPr>
        <w:pStyle w:val="BodyText"/>
      </w:pPr>
      <w:r>
        <w:t xml:space="preserve">Выполняем pass git push (рис. 6).</w:t>
      </w:r>
    </w:p>
    <w:p>
      <w:pPr>
        <w:pStyle w:val="CaptionedFigure"/>
      </w:pPr>
      <w:r>
        <w:drawing>
          <wp:inline>
            <wp:extent cx="3733800" cy="201506"/>
            <wp:effectExtent b="0" l="0" r="0" t="0"/>
            <wp:docPr descr="Pass git push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Pass git push</w:t>
      </w:r>
    </w:p>
    <w:p>
      <w:pPr>
        <w:pStyle w:val="BodyText"/>
      </w:pPr>
      <w:r>
        <w:t xml:space="preserve">Настраиваю интерфейс с броузером (рис. 7).</w:t>
      </w:r>
    </w:p>
    <w:p>
      <w:pPr>
        <w:pStyle w:val="CaptionedFigure"/>
      </w:pPr>
      <w:r>
        <w:drawing>
          <wp:inline>
            <wp:extent cx="3733800" cy="2814935"/>
            <wp:effectExtent b="0" l="0" r="0" t="0"/>
            <wp:docPr descr="Настройка интерфейс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интерфейса</w:t>
      </w:r>
    </w:p>
    <w:p>
      <w:pPr>
        <w:pStyle w:val="BodyText"/>
      </w:pPr>
      <w:r>
        <w:t xml:space="preserve">Устанавливаю дополнительное программное обеспечение (рис. 8).</w:t>
      </w:r>
    </w:p>
    <w:p>
      <w:pPr>
        <w:pStyle w:val="CaptionedFigure"/>
      </w:pPr>
      <w:r>
        <w:drawing>
          <wp:inline>
            <wp:extent cx="3733800" cy="3084760"/>
            <wp:effectExtent b="0" l="0" r="0" t="0"/>
            <wp:docPr descr="Установка дополнительного программного обеспеч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 9).</w:t>
      </w:r>
    </w:p>
    <w:p>
      <w:pPr>
        <w:pStyle w:val="CaptionedFigure"/>
      </w:pPr>
      <w:r>
        <w:drawing>
          <wp:inline>
            <wp:extent cx="3733800" cy="3799690"/>
            <wp:effectExtent b="0" l="0" r="0" t="0"/>
            <wp:docPr descr="Установка шрифтов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шрифтов</w:t>
      </w:r>
    </w:p>
    <w:p>
      <w:pPr>
        <w:pStyle w:val="BodyText"/>
      </w:pPr>
      <w:r>
        <w:t xml:space="preserve">Устанавливаю бинарный файл и создаю свой репозиторий(рис. 10).</w:t>
      </w:r>
    </w:p>
    <w:p>
      <w:pPr>
        <w:pStyle w:val="CaptionedFigure"/>
      </w:pPr>
      <w:r>
        <w:drawing>
          <wp:inline>
            <wp:extent cx="3733800" cy="969912"/>
            <wp:effectExtent b="0" l="0" r="0" t="0"/>
            <wp:docPr descr="Установка бинарного файла и созд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бинарного файла и создание репозитория</w:t>
      </w:r>
    </w:p>
    <w:p>
      <w:pPr>
        <w:pStyle w:val="BodyText"/>
      </w:pPr>
      <w:r>
        <w:t xml:space="preserve">Инициализирую chezmoi со своим репозиторием (рис. 11).</w:t>
      </w:r>
    </w:p>
    <w:p>
      <w:pPr>
        <w:pStyle w:val="CaptionedFigure"/>
      </w:pPr>
      <w:r>
        <w:drawing>
          <wp:inline>
            <wp:extent cx="3733800" cy="1115764"/>
            <wp:effectExtent b="0" l="0" r="0" t="0"/>
            <wp:docPr descr="Инициализация chezmoi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Инициализация chezmoi</w:t>
      </w:r>
    </w:p>
    <w:p>
      <w:pPr>
        <w:pStyle w:val="BodyText"/>
      </w:pPr>
      <w:r>
        <w:t xml:space="preserve">Проверяю какие изменения внёс chezmoi в домашний каталог (рис. 12).</w:t>
      </w:r>
    </w:p>
    <w:p>
      <w:pPr>
        <w:pStyle w:val="CaptionedFigure"/>
      </w:pPr>
      <w:r>
        <w:drawing>
          <wp:inline>
            <wp:extent cx="3733800" cy="2228473"/>
            <wp:effectExtent b="0" l="0" r="0" t="0"/>
            <wp:docPr descr="Установка gopass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gopass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настраивать рабочую среду.</w:t>
      </w:r>
    </w:p>
    <w:bookmarkEnd w:id="60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1"/>
    <w:bookmarkStart w:id="6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2"/>
    <w:bookmarkStart w:id="6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3"/>
    <w:bookmarkStart w:id="6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Селиванов Вячеслав Алексеевич</dc:creator>
  <dc:language>ru-RU</dc:language>
  <cp:keywords/>
  <dcterms:created xsi:type="dcterms:W3CDTF">2024-03-16T16:11:58Z</dcterms:created>
  <dcterms:modified xsi:type="dcterms:W3CDTF">2024-03-16T16:11:58Z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