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Approach Report</w:t>
      </w:r>
    </w:p>
    <w:p>
      <w:pPr>
        <w:spacing w:after="240"/>
      </w:pPr>
      <w:r>
        <w:rPr>
          <w:rFonts w:ascii="Aptos" w:hAnsi="Aptos"/>
          <w:b/>
          <w:color w:val="2D7D96"/>
          <w:sz w:val="28"/>
        </w:rPr>
        <w:t>Cynbit AI Project Copilot</w:t>
      </w:r>
    </w:p>
    <w:p>
      <w:pPr>
        <w:spacing w:after="240"/>
      </w:pPr>
      <w:r>
        <w:rPr>
          <w:color w:val="697487"/>
          <w:sz w:val="18"/>
        </w:rPr>
        <w:t>Assessment prototype  |  17 October 2026</w:t>
      </w:r>
    </w:p>
    <w:p>
      <w:pPr>
        <w:pStyle w:val="Heading1"/>
      </w:pPr>
      <w:r>
        <w:t>Executive summary</w:t>
      </w:r>
    </w:p>
    <w:p>
      <w:r>
        <w:t>This report describes the current prototype architecture, data flow, model choices, evaluation, safeguards, and next steps. The app turns a client discovery note into a structured first-pass opportunity brief. Its solution approach is generated by local keyword rules and fixed guides. A separate small machine-learning model predicts a category for comparison; it does not generate the solution plan. The prototype uses synthetic examples, makes no external AI calls, and keeps a consultant responsible for reviewing every recommendation.</w:t>
      </w:r>
    </w:p>
    <w:p>
      <w:pPr>
        <w:pStyle w:val="Heading1"/>
      </w:pPr>
      <w:r>
        <w:t>Objective and scope</w:t>
      </w:r>
    </w:p>
    <w:p>
      <w:r>
        <w:t>The proposed opportunity is to help consultants organize client requirements and identify a focused AI pilot during discovery. This is a proposal based on Cynbit’s publicly described services. It is not a statement about Cynbit’s internal workflows. The prototype demonstrates the assessment workflow and does not connect to client systems or use client data.</w:t>
      </w:r>
    </w:p>
    <w:p>
      <w:pPr>
        <w:pStyle w:val="Heading1"/>
      </w:pPr>
      <w:r>
        <w:t>How the prototype works</w:t>
      </w:r>
    </w:p>
    <w:p>
      <w:pPr>
        <w:pStyle w:val="ListNumber"/>
      </w:pPr>
      <w:r>
        <w:t>Streamlit collects a problem statement and optional context such as affected users, current tools, and constraints. These fields start blank; sample information is loaded only when a user clicks Load example.</w:t>
      </w:r>
    </w:p>
    <w:p>
      <w:pPr>
        <w:pStyle w:val="ListNumber"/>
      </w:pPr>
      <w:r>
        <w:t>Local extraction rules identify details stated in the text. Missing client details remain unspecified and can appear as questions for follow-up.</w:t>
      </w:r>
    </w:p>
    <w:p>
      <w:pPr>
        <w:pStyle w:val="ListNumber"/>
      </w:pPr>
      <w:r>
        <w:t>Keyword rules identify a likely problem category and friction signals. A separate classifier predicts a category so the user can compare the two results.</w:t>
      </w:r>
    </w:p>
    <w:p>
      <w:pPr>
        <w:pStyle w:val="ListNumber"/>
      </w:pPr>
      <w:r>
        <w:t>A built-in opportunity guide supplies a starting use case, risks, safeguards, success measures, and pilot steps. This is a transparent rules-based plan, not a response generated by a language model.</w:t>
      </w:r>
    </w:p>
    <w:p>
      <w:pPr>
        <w:pStyle w:val="ListNumber"/>
      </w:pPr>
      <w:r>
        <w:t>The user reviews and can edit context, then exports an Opportunity Report, Technical Approach Report, or CSV summary.</w:t>
      </w:r>
    </w:p>
    <w:p>
      <w:pPr>
        <w:pStyle w:val="Heading1"/>
      </w:pPr>
      <w:r>
        <w:t>Architecture and model choices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/>
        </w:trPr>
        <w:tc>
          <w:tcPr>
            <w:tcW w:type="dxa" w:w="1800"/>
            <w:vAlign w:val="center"/>
            <w:shd w:fill="273A78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vAlign w:val="center"/>
            <w:shd w:fill="273A78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400"/>
            <w:vAlign w:val="center"/>
            <w:shd w:fill="273A78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8"/>
              </w:rPr>
              <w:t>App interface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8"/>
              </w:rPr>
              <w:t>Streamlit</w:t>
            </w:r>
          </w:p>
        </w:tc>
        <w:tc>
          <w:tcPr>
            <w:tcW w:type="dxa" w:w="5400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8"/>
              </w:rPr>
              <w:t>Collects the statement and optional context, displays the analysis, and provides downloads.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A"/>
          </w:tcPr>
          <w:p>
            <w:pPr>
              <w:spacing w:after="60" w:before="60"/>
            </w:pPr>
            <w:r>
              <w:rPr>
                <w:rFonts w:ascii="Aptos" w:hAnsi="Aptos"/>
                <w:sz w:val="18"/>
              </w:rPr>
              <w:t>Detail extraction and plan</w:t>
            </w:r>
          </w:p>
        </w:tc>
        <w:tc>
          <w:tcPr>
            <w:tcW w:type="dxa" w:w="2376"/>
            <w:vAlign w:val="center"/>
            <w:shd w:fill="F2F5FA"/>
          </w:tcPr>
          <w:p>
            <w:pPr>
              <w:spacing w:after="60" w:before="60"/>
            </w:pPr>
            <w:r>
              <w:rPr>
                <w:rFonts w:ascii="Aptos" w:hAnsi="Aptos"/>
                <w:sz w:val="18"/>
              </w:rPr>
              <w:t>Python rules and opportunity guides</w:t>
            </w:r>
          </w:p>
        </w:tc>
        <w:tc>
          <w:tcPr>
            <w:tcW w:type="dxa" w:w="5400"/>
            <w:vAlign w:val="center"/>
            <w:shd w:fill="F2F5FA"/>
          </w:tcPr>
          <w:p>
            <w:pPr>
              <w:spacing w:after="60" w:before="60"/>
            </w:pPr>
            <w:r>
              <w:rPr>
                <w:rFonts w:ascii="Aptos" w:hAnsi="Aptos"/>
                <w:sz w:val="18"/>
              </w:rPr>
              <w:t>Extracts stated details and creates a repeatable first-pass plan, with missing information left open.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8"/>
              </w:rPr>
              <w:t>Category comparison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8"/>
              </w:rPr>
              <w:t>TF-IDF and Logistic Regression</w:t>
            </w:r>
          </w:p>
        </w:tc>
        <w:tc>
          <w:tcPr>
            <w:tcW w:type="dxa" w:w="5400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8"/>
              </w:rPr>
              <w:t>Predicts a problem category from text. It is separate from the rules that generate the plan.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A"/>
          </w:tcPr>
          <w:p>
            <w:pPr>
              <w:spacing w:after="60" w:before="60"/>
            </w:pPr>
            <w:r>
              <w:rPr>
                <w:rFonts w:ascii="Aptos" w:hAnsi="Aptos"/>
                <w:sz w:val="18"/>
              </w:rPr>
              <w:t>Exports</w:t>
            </w:r>
          </w:p>
        </w:tc>
        <w:tc>
          <w:tcPr>
            <w:tcW w:type="dxa" w:w="2376"/>
            <w:vAlign w:val="center"/>
            <w:shd w:fill="F2F5FA"/>
          </w:tcPr>
          <w:p>
            <w:pPr>
              <w:spacing w:after="60" w:before="60"/>
            </w:pPr>
            <w:r>
              <w:rPr>
                <w:rFonts w:ascii="Aptos" w:hAnsi="Aptos"/>
                <w:sz w:val="18"/>
              </w:rPr>
              <w:t>Word document and CSV output</w:t>
            </w:r>
          </w:p>
        </w:tc>
        <w:tc>
          <w:tcPr>
            <w:tcW w:type="dxa" w:w="5400"/>
            <w:vAlign w:val="center"/>
            <w:shd w:fill="F2F5FA"/>
          </w:tcPr>
          <w:p>
            <w:pPr>
              <w:spacing w:after="60" w:before="60"/>
            </w:pPr>
            <w:r>
              <w:rPr>
                <w:rFonts w:ascii="Aptos" w:hAnsi="Aptos"/>
                <w:sz w:val="18"/>
              </w:rPr>
              <w:t>Provides an editable opportunity report, a technical report, and a compact summary.</w:t>
            </w:r>
          </w:p>
        </w:tc>
      </w:tr>
    </w:tbl>
    <w:p>
      <w:r>
        <w:t>The classifier uses the 34 synthetic problem statements and categories included with the app. Its TF-IDF vectorizer considers single words and two-word phrases. Logistic Regression returns a predicted category and an estimated class probability. The probability is a model output, not a guarantee. The app also displays a rule match-strength label; that label counts matched keyword rules and is not a probability.</w:t>
      </w:r>
    </w:p>
    <w:p>
      <w:pPr>
        <w:pStyle w:val="Heading1"/>
      </w:pPr>
      <w:r>
        <w:t>Data flow and privacy</w:t>
      </w:r>
    </w:p>
    <w:p>
      <w:r>
        <w:t>The current data path is limited to user-entered text and optional context: input → local extraction → category comparison → built-in guide → report shown in the app → user review and export. The app does not send this information to OpenAI, Google, or another AI service. It does not retrieve documents, connect to a CRM, or call external client systems. For any future deployment with real client information, the team must first agree on approved data sources, access permissions, retention, and privacy controls.</w:t>
      </w:r>
    </w:p>
    <w:p>
      <w:pPr>
        <w:pStyle w:val="Heading1"/>
      </w:pPr>
      <w:r>
        <w:t>Prompt and language model approach</w:t>
      </w:r>
    </w:p>
    <w:p>
      <w:r>
        <w:t>There is no prompt engineering or generative language model in the current implementation. Earlier API-based behavior was removed so the app can run without a key and avoid sending client statements to a provider. The written approach comes from explicit keyword rules and hand-authored opportunity guides. This makes the current behavior easier to inspect, but it limits the range and nuance of responses.</w:t>
      </w:r>
    </w:p>
    <w:p>
      <w:pPr>
        <w:pStyle w:val="Heading1"/>
      </w:pPr>
      <w:r>
        <w:t>Prototype evaluation</w:t>
      </w:r>
    </w:p>
    <w:p>
      <w:r>
        <w:t>The project compares the rule-based category choice and the classifier using stratified five-fold cross-validation with a fixed random seed across the same 34 synthetic examples. The measured results were: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/>
        </w:trPr>
        <w:tc>
          <w:tcPr>
            <w:tcW w:type="dxa" w:w="3293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Method</w:t>
            </w:r>
          </w:p>
        </w:tc>
        <w:tc>
          <w:tcPr>
            <w:tcW w:type="dxa" w:w="3293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Correct examples</w:t>
            </w:r>
          </w:p>
        </w:tc>
        <w:tc>
          <w:tcPr>
            <w:tcW w:type="dxa" w:w="3293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Accuracy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Keyword rules</w:t>
            </w:r>
          </w:p>
        </w:tc>
        <w:tc>
          <w:tcPr>
            <w:tcW w:type="dxa" w:w="3293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31 of 34</w:t>
            </w:r>
          </w:p>
        </w:tc>
        <w:tc>
          <w:tcPr>
            <w:tcW w:type="dxa" w:w="3293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91.2%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TF-IDF + Logistic Regression</w:t>
            </w:r>
          </w:p>
        </w:tc>
        <w:tc>
          <w:tcPr>
            <w:tcW w:type="dxa" w:w="3293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17 of 34</w:t>
            </w:r>
          </w:p>
        </w:tc>
        <w:tc>
          <w:tcPr>
            <w:tcW w:type="dxa" w:w="3293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50.0%</w:t>
            </w:r>
          </w:p>
        </w:tc>
      </w:tr>
    </w:tbl>
    <w:p>
      <w:r>
        <w:t>These measurements describe a small synthetic demonstration set. They are not evidence of real-world performance and should not be presented as a production benchmark. The classifier is a teaching component, not production-ready.</w:t>
      </w:r>
    </w:p>
    <w:p>
      <w:pPr>
        <w:pStyle w:val="Heading1"/>
      </w:pPr>
      <w:r>
        <w:t>Risks and safeguards</w:t>
      </w:r>
    </w:p>
    <w:p>
      <w:pPr>
        <w:pStyle w:val="ListBullet"/>
      </w:pPr>
      <w:r>
        <w:rPr>
          <w:b/>
        </w:rPr>
        <w:t xml:space="preserve">Incorrect category or extraction: </w:t>
      </w:r>
      <w:r>
        <w:t>Show the extracted context and category so the user can review and correct them.</w:t>
      </w:r>
    </w:p>
    <w:p>
      <w:pPr>
        <w:pStyle w:val="ListBullet"/>
      </w:pPr>
      <w:r>
        <w:rPr>
          <w:b/>
        </w:rPr>
        <w:t xml:space="preserve">Missing information: </w:t>
      </w:r>
      <w:r>
        <w:t>Leave details unspecified and show follow-up questions instead of inventing client facts.</w:t>
      </w:r>
    </w:p>
    <w:p>
      <w:pPr>
        <w:pStyle w:val="ListBullet"/>
      </w:pPr>
      <w:r>
        <w:rPr>
          <w:b/>
        </w:rPr>
        <w:t xml:space="preserve">Sensitive input: </w:t>
      </w:r>
      <w:r>
        <w:t>Use synthetic or approved data. Define access and retention before any real client use.</w:t>
      </w:r>
    </w:p>
    <w:p>
      <w:pPr>
        <w:pStyle w:val="ListBullet"/>
      </w:pPr>
      <w:r>
        <w:rPr>
          <w:b/>
        </w:rPr>
        <w:t xml:space="preserve">Over-reliance on the plan: </w:t>
      </w:r>
      <w:r>
        <w:t>Require consultant review. The prototype does not make client decisions or take actions.</w:t>
      </w:r>
    </w:p>
    <w:p>
      <w:pPr>
        <w:pStyle w:val="ListBullet"/>
      </w:pPr>
      <w:r>
        <w:rPr>
          <w:b/>
        </w:rPr>
        <w:t xml:space="preserve">Weak model evidence: </w:t>
      </w:r>
      <w:r>
        <w:t>Evaluate with a larger, representative, approved dataset before making performance claims.</w:t>
      </w:r>
    </w:p>
    <w:p>
      <w:pPr>
        <w:pStyle w:val="Heading1"/>
      </w:pPr>
      <w:r>
        <w:t>Execution plan</w:t>
      </w:r>
    </w:p>
    <w:p>
      <w:pPr>
        <w:pStyle w:val="ListNumber"/>
      </w:pPr>
      <w:r>
        <w:t>Confirm the discovery use case, users, current workflow, and constraints with stakeholders.</w:t>
      </w:r>
    </w:p>
    <w:p>
      <w:pPr>
        <w:pStyle w:val="ListNumber"/>
      </w:pPr>
      <w:r>
        <w:t>Agree on approved example data, privacy controls, baseline measures, and acceptance criteria.</w:t>
      </w:r>
    </w:p>
    <w:p>
      <w:pPr>
        <w:pStyle w:val="ListNumber"/>
      </w:pPr>
      <w:r>
        <w:t>Try the prototype with representative synthetic or approved cases. Record extraction and category errors and have a consultant review each output.</w:t>
      </w:r>
    </w:p>
    <w:p>
      <w:pPr>
        <w:pStyle w:val="ListNumber"/>
      </w:pPr>
      <w:r>
        <w:t>Refine the rules and report format based on review. Keep the plan as decision support, with a person approving recommendations.</w:t>
      </w:r>
    </w:p>
    <w:p>
      <w:pPr>
        <w:pStyle w:val="ListNumber"/>
      </w:pPr>
      <w:r>
        <w:t>If a pilot is approved, collect a larger representative dataset and evaluate whether the classifier adds value. Set outcome targets with the process owner before measuring impact.</w:t>
      </w:r>
    </w:p>
    <w:p>
      <w:pPr>
        <w:pStyle w:val="Heading1"/>
      </w:pPr>
      <w:r>
        <w:t>Current limitations</w:t>
      </w:r>
    </w:p>
    <w:p>
      <w:r>
        <w:t>The prototype has no client-system integration, document retrieval, citations, generative AI, feedback learning, or validated client-specific impact estimate. Its rules and guides are hand-authored. The classifier is trained on only 34 synthetic examples. Further discovery and approved evaluation are required before the approach could be considered for production.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97487"/>
        <w:sz w:val="16"/>
      </w:rPr>
      <w:t xml:space="preserve">Cynbit AI Project Copilot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52F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73A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3A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Approach Report</dc:title>
  <dc:subject>Cynbit AI Project Copilot assessment prototype</dc:subject>
  <dc:creator>Cynbit AI Project Copilot Assessment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