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1F3864"/>
          <w:spacing w:val="20"/>
          <w:sz w:val="30"/>
          <w:szCs w:val="30"/>
        </w:rPr>
        <w:t xml:space="preserve">AUDIT TRAIL</w:t>
      </w:r>
    </w:p>
    <w:p>
      <w:pPr>
        <w:spacing w:after="400" w:before="100"/>
        <w:jc w:val="center"/>
      </w:pPr>
      <w:r>
        <w:rPr>
          <w:b/>
          <w:bCs/>
          <w:color w:val="1F3864"/>
          <w:sz w:val="56"/>
          <w:szCs w:val="56"/>
        </w:rPr>
        <w:t xml:space="preserve">Treaty Pricing Submission Analyst Agent</w:t>
      </w:r>
    </w:p>
    <w:p>
      <w:pPr>
        <w:spacing w:after="100"/>
        <w:jc w:val="center"/>
      </w:pPr>
      <w:r>
        <w:rPr>
          <w:color w:val="0E7C7B"/>
          <w:sz w:val="30"/>
          <w:szCs w:val="30"/>
        </w:rPr>
        <w:t xml:space="preserve">Property Catastrophe Excess-of-Loss Renewal</w:t>
      </w:r>
    </w:p>
    <w:p>
      <w:pPr>
        <w:spacing w:after="900"/>
        <w:jc w:val="center"/>
      </w:pPr>
      <w:r>
        <w:rPr>
          <w:sz w:val="24"/>
          <w:szCs w:val="24"/>
        </w:rPr>
        <w:t xml:space="preserve">Example Mutual Insurance Co.  |  $50,000,000 xs $50,000,000  |  1 Reinstatement</w:t>
      </w:r>
    </w:p>
    <w:tbl>
      <w:tblPr>
        <w:tblW w:type="dxa" w:w="9360"/>
        <w:tblBorders>
          <w:top w:val="single" w:color="1F3864" w:sz="4"/>
          <w:left w:val="single" w:color="1F3864" w:sz="16"/>
          <w:bottom w:val="single" w:color="1F3864" w:sz="4"/>
          <w:right w:val="single" w:color="1F3864" w:sz="4"/>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1F3864"/>
              </w:rPr>
              <w:t xml:space="preserve">What this document is</w:t>
            </w:r>
          </w:p>
          <w:p>
            <w:pPr>
              <w:spacing w:after="0" w:line="270"/>
            </w:pPr>
            <w:r>
              <w:t xml:space="preserve">This is a complete, line-by-line record of how the Treaty Pricing Submission Analyst Agent arrived at its technical price indication for this renewal — every assumption it used, every calculation it ran, and why. It is written so that both the actuarial reviewer and the client can follow the same document: shaded boxes like this one give the plain-English version, and the text underneath gives the technical detail and formulas for anyone who wants to check the maths.</w:t>
            </w:r>
          </w:p>
        </w:tc>
      </w:tr>
    </w:tbl>
    <w:p>
      <w:pPr>
        <w:spacing w:after="300"/>
      </w:pP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5760"/>
      </w:tblGrid>
      <w:tr>
        <w:tc>
          <w:tcPr>
            <w:tcW w:type="dxa" w:w="3600"/>
            <w:shd w:fill="F2F2F2" w:val="clear"/>
            <w:tcMar>
              <w:top w:type="dxa" w:w="90"/>
              <w:left w:type="dxa" w:w="150"/>
              <w:bottom w:type="dxa" w:w="90"/>
              <w:right w:type="dxa" w:w="150"/>
            </w:tcMar>
            <w:vAlign w:val="center"/>
          </w:tcPr>
          <w:p>
            <w:r>
              <w:rPr>
                <w:b/>
                <w:bCs/>
              </w:rPr>
              <w:t xml:space="preserve">Cedant / Program</w:t>
            </w:r>
          </w:p>
        </w:tc>
        <w:tc>
          <w:tcPr>
            <w:tcW w:type="dxa" w:w="5760"/>
            <w:tcMar>
              <w:top w:type="dxa" w:w="90"/>
              <w:left w:type="dxa" w:w="150"/>
              <w:bottom w:type="dxa" w:w="90"/>
              <w:right w:type="dxa" w:w="150"/>
            </w:tcMar>
            <w:vAlign w:val="center"/>
          </w:tcPr>
          <w:p>
            <w:r>
              <w:t xml:space="preserve">Example Mutual Insurance Co. — Property Catastrophe XL</w:t>
            </w:r>
          </w:p>
        </w:tc>
      </w:tr>
      <w:tr>
        <w:tc>
          <w:tcPr>
            <w:tcW w:type="dxa" w:w="3600"/>
            <w:shd w:fill="FFFFFF" w:val="clear"/>
            <w:tcMar>
              <w:top w:type="dxa" w:w="90"/>
              <w:left w:type="dxa" w:w="150"/>
              <w:bottom w:type="dxa" w:w="90"/>
              <w:right w:type="dxa" w:w="150"/>
            </w:tcMar>
            <w:vAlign w:val="center"/>
          </w:tcPr>
          <w:p>
            <w:r>
              <w:rPr>
                <w:b/>
                <w:bCs/>
              </w:rPr>
              <w:t xml:space="preserve">Layer reviewed</w:t>
            </w:r>
          </w:p>
        </w:tc>
        <w:tc>
          <w:tcPr>
            <w:tcW w:type="dxa" w:w="5760"/>
            <w:tcMar>
              <w:top w:type="dxa" w:w="90"/>
              <w:left w:type="dxa" w:w="150"/>
              <w:bottom w:type="dxa" w:w="90"/>
              <w:right w:type="dxa" w:w="150"/>
            </w:tcMar>
            <w:vAlign w:val="center"/>
          </w:tcPr>
          <w:p>
            <w:r>
              <w:t xml:space="preserve">$50,000,000 excess of $50,000,000, 1 reinstatement (annual aggregate limit $100,000,000)</w:t>
            </w:r>
          </w:p>
        </w:tc>
      </w:tr>
      <w:tr>
        <w:tc>
          <w:tcPr>
            <w:tcW w:type="dxa" w:w="3600"/>
            <w:shd w:fill="FFFFFF" w:val="clear"/>
            <w:tcMar>
              <w:top w:type="dxa" w:w="90"/>
              <w:left w:type="dxa" w:w="150"/>
              <w:bottom w:type="dxa" w:w="90"/>
              <w:right w:type="dxa" w:w="150"/>
            </w:tcMar>
            <w:vAlign w:val="center"/>
          </w:tcPr>
          <w:p>
            <w:r>
              <w:rPr>
                <w:b/>
                <w:bCs/>
              </w:rPr>
              <w:t xml:space="preserve">Renewal effective</w:t>
            </w:r>
          </w:p>
        </w:tc>
        <w:tc>
          <w:tcPr>
            <w:tcW w:type="dxa" w:w="5760"/>
            <w:tcMar>
              <w:top w:type="dxa" w:w="90"/>
              <w:left w:type="dxa" w:w="150"/>
              <w:bottom w:type="dxa" w:w="90"/>
              <w:right w:type="dxa" w:w="150"/>
            </w:tcMar>
            <w:vAlign w:val="center"/>
          </w:tcPr>
          <w:p>
            <w:r>
              <w:t xml:space="preserve">1 January 2027</w:t>
            </w:r>
          </w:p>
        </w:tc>
      </w:tr>
      <w:tr>
        <w:tc>
          <w:tcPr>
            <w:tcW w:type="dxa" w:w="3600"/>
            <w:shd w:fill="FFFFFF" w:val="clear"/>
            <w:tcMar>
              <w:top w:type="dxa" w:w="90"/>
              <w:left w:type="dxa" w:w="150"/>
              <w:bottom w:type="dxa" w:w="90"/>
              <w:right w:type="dxa" w:w="150"/>
            </w:tcMar>
            <w:vAlign w:val="center"/>
          </w:tcPr>
          <w:p>
            <w:r>
              <w:rPr>
                <w:b/>
                <w:bCs/>
              </w:rPr>
              <w:t xml:space="preserve">Loss history reviewed</w:t>
            </w:r>
          </w:p>
        </w:tc>
        <w:tc>
          <w:tcPr>
            <w:tcW w:type="dxa" w:w="5760"/>
            <w:tcMar>
              <w:top w:type="dxa" w:w="90"/>
              <w:left w:type="dxa" w:w="150"/>
              <w:bottom w:type="dxa" w:w="90"/>
              <w:right w:type="dxa" w:w="150"/>
            </w:tcMar>
            <w:vAlign w:val="center"/>
          </w:tcPr>
          <w:p>
            <w:r>
              <w:t xml:space="preserve">11 underwriting years (2017 – 2027)</w:t>
            </w:r>
          </w:p>
        </w:tc>
      </w:tr>
      <w:tr>
        <w:tc>
          <w:tcPr>
            <w:tcW w:type="dxa" w:w="3600"/>
            <w:shd w:fill="FFFFFF" w:val="clear"/>
            <w:tcMar>
              <w:top w:type="dxa" w:w="90"/>
              <w:left w:type="dxa" w:w="150"/>
              <w:bottom w:type="dxa" w:w="90"/>
              <w:right w:type="dxa" w:w="150"/>
            </w:tcMar>
            <w:vAlign w:val="center"/>
          </w:tcPr>
          <w:p>
            <w:r>
              <w:rPr>
                <w:b/>
                <w:bCs/>
              </w:rPr>
              <w:t xml:space="preserve">Expiring technical premium</w:t>
            </w:r>
          </w:p>
        </w:tc>
        <w:tc>
          <w:tcPr>
            <w:tcW w:type="dxa" w:w="5760"/>
            <w:tcMar>
              <w:top w:type="dxa" w:w="90"/>
              <w:left w:type="dxa" w:w="150"/>
              <w:bottom w:type="dxa" w:w="90"/>
              <w:right w:type="dxa" w:w="150"/>
            </w:tcMar>
            <w:vAlign w:val="center"/>
          </w:tcPr>
          <w:p>
            <w:r>
              <w:t xml:space="preserve">$7,800,000</w:t>
            </w:r>
          </w:p>
        </w:tc>
      </w:tr>
      <w:tr>
        <w:tc>
          <w:tcPr>
            <w:tcW w:type="dxa" w:w="3600"/>
            <w:shd w:fill="FFFFFF" w:val="clear"/>
            <w:tcMar>
              <w:top w:type="dxa" w:w="90"/>
              <w:left w:type="dxa" w:w="150"/>
              <w:bottom w:type="dxa" w:w="90"/>
              <w:right w:type="dxa" w:w="150"/>
            </w:tcMar>
            <w:vAlign w:val="center"/>
          </w:tcPr>
          <w:p>
            <w:r>
              <w:rPr>
                <w:b/>
                <w:bCs/>
              </w:rPr>
              <w:t xml:space="preserve">Technical price indication (this review)</w:t>
            </w:r>
          </w:p>
        </w:tc>
        <w:tc>
          <w:tcPr>
            <w:tcW w:type="dxa" w:w="5760"/>
            <w:tcMar>
              <w:top w:type="dxa" w:w="90"/>
              <w:left w:type="dxa" w:w="150"/>
              <w:bottom w:type="dxa" w:w="90"/>
              <w:right w:type="dxa" w:w="150"/>
            </w:tcMar>
            <w:vAlign w:val="center"/>
          </w:tcPr>
          <w:p>
            <w:r>
              <w:t xml:space="preserve">$18,342,477  (see Section 6)</w:t>
            </w:r>
          </w:p>
        </w:tc>
      </w:tr>
      <w:tr>
        <w:tc>
          <w:tcPr>
            <w:tcW w:type="dxa" w:w="3600"/>
            <w:shd w:fill="FFFFFF" w:val="clear"/>
            <w:tcMar>
              <w:top w:type="dxa" w:w="90"/>
              <w:left w:type="dxa" w:w="150"/>
              <w:bottom w:type="dxa" w:w="90"/>
              <w:right w:type="dxa" w:w="150"/>
            </w:tcMar>
            <w:vAlign w:val="center"/>
          </w:tcPr>
          <w:p>
            <w:r>
              <w:rPr>
                <w:b/>
                <w:bCs/>
              </w:rPr>
              <w:t xml:space="preserve">Document prepared by</w:t>
            </w:r>
          </w:p>
        </w:tc>
        <w:tc>
          <w:tcPr>
            <w:tcW w:type="dxa" w:w="5760"/>
            <w:tcMar>
              <w:top w:type="dxa" w:w="90"/>
              <w:left w:type="dxa" w:w="150"/>
              <w:bottom w:type="dxa" w:w="90"/>
              <w:right w:type="dxa" w:w="150"/>
            </w:tcMar>
            <w:vAlign w:val="center"/>
          </w:tcPr>
          <w:p>
            <w:r>
              <w:t xml:space="preserve">Treaty Pricing Submission Analyst Agent (automated), pending human peer review</w:t>
            </w:r>
          </w:p>
        </w:tc>
      </w:tr>
      <w:tr>
        <w:tc>
          <w:tcPr>
            <w:tcW w:type="dxa" w:w="3600"/>
            <w:shd w:fill="FFFFFF" w:val="clear"/>
            <w:tcMar>
              <w:top w:type="dxa" w:w="90"/>
              <w:left w:type="dxa" w:w="150"/>
              <w:bottom w:type="dxa" w:w="90"/>
              <w:right w:type="dxa" w:w="150"/>
            </w:tcMar>
            <w:vAlign w:val="center"/>
          </w:tcPr>
          <w:p>
            <w:r>
              <w:rPr>
                <w:b/>
                <w:bCs/>
              </w:rPr>
              <w:t xml:space="preserve">Status</w:t>
            </w:r>
          </w:p>
        </w:tc>
        <w:tc>
          <w:tcPr>
            <w:tcW w:type="dxa" w:w="5760"/>
            <w:tcMar>
              <w:top w:type="dxa" w:w="90"/>
              <w:left w:type="dxa" w:w="150"/>
              <w:bottom w:type="dxa" w:w="90"/>
              <w:right w:type="dxa" w:w="150"/>
            </w:tcMar>
            <w:vAlign w:val="center"/>
          </w:tcPr>
          <w:p>
            <w:r>
              <w:t xml:space="preserve">DRAFT — technical indication only; not a quote, bind instruction, or commercial recommendation</w:t>
            </w:r>
          </w:p>
        </w:tc>
      </w:tr>
    </w:tbl>
    <w:p>
      <w:r>
        <w:br w:type="page"/>
      </w:r>
    </w:p>
    <w:p>
      <w:pPr>
        <w:pStyle w:val="Heading1"/>
        <w:spacing w:after="160" w:before="360"/>
      </w:pPr>
      <w:r>
        <w:t xml:space="preserve">How to Read This Document</w:t>
      </w:r>
    </w:p>
    <w:p>
      <w:pPr>
        <w:spacing w:after="160" w:line="276"/>
      </w:pPr>
      <w:r>
        <w:t xml:space="preserve">This audit trail is written for two readers at once. If you are the actuarial peer reviewer, you will want the formulas, the exact figures, and the full calculation trace — all of that is here in full. If you are the client, or anyone without an actuarial background, you may prefer to read only the shaded ‘In Plain English’ boxes at the start of each section, which explain what was done and why in everyday language, without the maths.</w:t>
      </w:r>
    </w:p>
    <w:tbl>
      <w:tblPr>
        <w:tblW w:type="dxa" w:w="9360"/>
        <w:tblBorders>
          <w:top w:val="single" w:color="1F3864" w:sz="4"/>
          <w:left w:val="single" w:color="1F3864" w:sz="16"/>
          <w:bottom w:val="single" w:color="1F3864" w:sz="4"/>
          <w:right w:val="single" w:color="1F3864" w:sz="4"/>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1F3864"/>
              </w:rPr>
              <w:t xml:space="preserve">In Plain English</w:t>
            </w:r>
          </w:p>
          <w:p>
            <w:pPr>
              <w:spacing w:after="0" w:line="270"/>
            </w:pPr>
            <w:r>
              <w:t xml:space="preserve">Every section below follows the same pattern: first a plain-language box like this one explaining what the step does and why it matters, then the technical detail (the formula, the assumption used, and the actual numbers from this submission) for anyone who wants to verify the work. You do not need to read the technical parts to understand the conclusion — Section 6 (Technical Price) and Section 9 (Conclusion) summarise the outcome in plain terms.</w:t>
            </w:r>
          </w:p>
        </w:tc>
      </w:tr>
    </w:tbl>
    <w:p>
      <w:pPr>
        <w:spacing w:after="160" w:line="276"/>
      </w:pPr>
      <w:r>
        <w:t xml:space="preserve">A glossary of the actuarial and reinsurance terms used in this document is provided in Section 11 for reference.</w:t>
      </w:r>
    </w:p>
    <w:p>
      <w:r>
        <w:br w:type="page"/>
      </w:r>
    </w:p>
    <w:p>
      <w:pPr>
        <w:pStyle w:val="Heading1"/>
        <w:spacing w:after="160" w:before="360"/>
      </w:pPr>
      <w:r>
        <w:t xml:space="preserve">1. Executive Summary</w:t>
      </w:r>
    </w:p>
    <w:tbl>
      <w:tblPr>
        <w:tblW w:type="dxa" w:w="9360"/>
        <w:tblBorders>
          <w:top w:val="single" w:color="1F3864" w:sz="4"/>
          <w:left w:val="single" w:color="1F3864" w:sz="16"/>
          <w:bottom w:val="single" w:color="1F3864" w:sz="4"/>
          <w:right w:val="single" w:color="1F3864" w:sz="4"/>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1F3864"/>
              </w:rPr>
              <w:t xml:space="preserve">In Plain English</w:t>
            </w:r>
          </w:p>
          <w:p>
            <w:pPr>
              <w:spacing w:after="0" w:line="270"/>
            </w:pPr>
            <w:r>
              <w:t xml:space="preserve">Example Mutual Insurance Co. asked us to review the pricing on the renewal of a layer of their property catastrophe reinsurance programme — specifically the layer that pays out losses between $50 million and $100 million per event (with one additional reinstatement, i.e. the layer can pay out twice in a year up to $100 million in total). We looked at 10 complete years of that programme's loss history (2017–2026), adjusted it to today's money and today's exposure, and combined it with a model of how often and how severely this layer is likely to be hit. Based on that analysis, our technical (i.e. purely mathematical, before any commercial judgment) price for this layer is $18,342,477 for the coming year, compared with $7,800,000 charged for the expiring year — an indicated increase of about 135%. This is a large increase, and Section 8 explains in plain terms why: the layer has been hit three times in ten years, twice for the full amount of the layer, which is more often and more severely than the expiring premium assumed. Section 9 sets out important caveats before this number is used commercially.</w:t>
            </w:r>
          </w:p>
        </w:tc>
      </w:tr>
    </w:tbl>
    <w:p>
      <w:pPr>
        <w:spacing w:after="160" w:line="276"/>
      </w:pPr>
      <w:r>
        <w:t xml:space="preserve">This document is the full working behind that number. It is a technical reference point produced by a governed, rule-based process — it is not a quote, a bind instruction, or a recommendation on what price to actually charge. That decision, and any commercial adjustment to this technical figure, is for underwriting management to make, informed by this analysis alongside considerations this document does not cover (competitive position, relationship, portfolio strategy, and so on).</w:t>
      </w:r>
    </w:p>
    <w:p>
      <w:pPr>
        <w:pStyle w:val="Heading1"/>
        <w:spacing w:after="160" w:before="360"/>
      </w:pPr>
      <w:r>
        <w:t xml:space="preserve">2. The Submission That Was Reviewed</w:t>
      </w:r>
    </w:p>
    <w:tbl>
      <w:tblPr>
        <w:tblW w:type="dxa" w:w="9360"/>
        <w:tblBorders>
          <w:top w:val="single" w:color="1F3864" w:sz="4"/>
          <w:left w:val="single" w:color="1F3864" w:sz="16"/>
          <w:bottom w:val="single" w:color="1F3864" w:sz="4"/>
          <w:right w:val="single" w:color="1F3864" w:sz="4"/>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1F3864"/>
              </w:rPr>
              <w:t xml:space="preserve">In Plain English</w:t>
            </w:r>
          </w:p>
          <w:p>
            <w:pPr>
              <w:spacing w:after="0" w:line="270"/>
            </w:pPr>
            <w:r>
              <w:t xml:space="preserve">Before calculating anything, the agent first checked that the data supplied was complete and usable enough to price from. This section summarises what was supplied and what, if anything, was missing.</w:t>
            </w:r>
          </w:p>
        </w:tc>
      </w:tr>
    </w:tbl>
    <w:p>
      <w:pPr>
        <w:pStyle w:val="Heading2"/>
        <w:spacing w:after="120" w:before="280"/>
      </w:pPr>
      <w:r>
        <w:t xml:space="preserve">2.1 Treaty Terms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5760"/>
      </w:tblGrid>
      <w:tr>
        <w:tc>
          <w:tcPr>
            <w:tcW w:type="dxa" w:w="3600"/>
            <w:shd w:fill="F2F2F2" w:val="clear"/>
            <w:tcMar>
              <w:top w:type="dxa" w:w="90"/>
              <w:left w:type="dxa" w:w="150"/>
              <w:bottom w:type="dxa" w:w="90"/>
              <w:right w:type="dxa" w:w="150"/>
            </w:tcMar>
            <w:vAlign w:val="center"/>
          </w:tcPr>
          <w:p>
            <w:r>
              <w:rPr>
                <w:b/>
                <w:bCs/>
              </w:rPr>
              <w:t xml:space="preserve">Attachment point</w:t>
            </w:r>
          </w:p>
        </w:tc>
        <w:tc>
          <w:tcPr>
            <w:tcW w:type="dxa" w:w="5760"/>
            <w:tcMar>
              <w:top w:type="dxa" w:w="90"/>
              <w:left w:type="dxa" w:w="150"/>
              <w:bottom w:type="dxa" w:w="90"/>
              <w:right w:type="dxa" w:w="150"/>
            </w:tcMar>
            <w:vAlign w:val="center"/>
          </w:tcPr>
          <w:p>
            <w:r>
              <w:t xml:space="preserve">$50,000,000 — the layer only responds to the part of a loss above this amount</w:t>
            </w:r>
          </w:p>
        </w:tc>
      </w:tr>
      <w:tr>
        <w:tc>
          <w:tcPr>
            <w:tcW w:type="dxa" w:w="3600"/>
            <w:shd w:fill="FFFFFF" w:val="clear"/>
            <w:tcMar>
              <w:top w:type="dxa" w:w="90"/>
              <w:left w:type="dxa" w:w="150"/>
              <w:bottom w:type="dxa" w:w="90"/>
              <w:right w:type="dxa" w:w="150"/>
            </w:tcMar>
            <w:vAlign w:val="center"/>
          </w:tcPr>
          <w:p>
            <w:r>
              <w:rPr>
                <w:b/>
                <w:bCs/>
              </w:rPr>
              <w:t xml:space="preserve">Limit</w:t>
            </w:r>
          </w:p>
        </w:tc>
        <w:tc>
          <w:tcPr>
            <w:tcW w:type="dxa" w:w="5760"/>
            <w:tcMar>
              <w:top w:type="dxa" w:w="90"/>
              <w:left w:type="dxa" w:w="150"/>
              <w:bottom w:type="dxa" w:w="90"/>
              <w:right w:type="dxa" w:w="150"/>
            </w:tcMar>
            <w:vAlign w:val="center"/>
          </w:tcPr>
          <w:p>
            <w:r>
              <w:t xml:space="preserve">$50,000,000 — the maximum this layer pays on any one event</w:t>
            </w:r>
          </w:p>
        </w:tc>
      </w:tr>
      <w:tr>
        <w:tc>
          <w:tcPr>
            <w:tcW w:type="dxa" w:w="3600"/>
            <w:shd w:fill="FFFFFF" w:val="clear"/>
            <w:tcMar>
              <w:top w:type="dxa" w:w="90"/>
              <w:left w:type="dxa" w:w="150"/>
              <w:bottom w:type="dxa" w:w="90"/>
              <w:right w:type="dxa" w:w="150"/>
            </w:tcMar>
            <w:vAlign w:val="center"/>
          </w:tcPr>
          <w:p>
            <w:r>
              <w:rPr>
                <w:b/>
                <w:bCs/>
              </w:rPr>
              <w:t xml:space="preserve">Reinstatements</w:t>
            </w:r>
          </w:p>
        </w:tc>
        <w:tc>
          <w:tcPr>
            <w:tcW w:type="dxa" w:w="5760"/>
            <w:tcMar>
              <w:top w:type="dxa" w:w="90"/>
              <w:left w:type="dxa" w:w="150"/>
              <w:bottom w:type="dxa" w:w="90"/>
              <w:right w:type="dxa" w:w="150"/>
            </w:tcMar>
            <w:vAlign w:val="center"/>
          </w:tcPr>
          <w:p>
            <w:r>
              <w:t xml:space="preserve">1 — the layer can be “refilled” once after being used, so it can pay out twice in a year</w:t>
            </w:r>
          </w:p>
        </w:tc>
      </w:tr>
      <w:tr>
        <w:tc>
          <w:tcPr>
            <w:tcW w:type="dxa" w:w="3600"/>
            <w:shd w:fill="FFFFFF" w:val="clear"/>
            <w:tcMar>
              <w:top w:type="dxa" w:w="90"/>
              <w:left w:type="dxa" w:w="150"/>
              <w:bottom w:type="dxa" w:w="90"/>
              <w:right w:type="dxa" w:w="150"/>
            </w:tcMar>
            <w:vAlign w:val="center"/>
          </w:tcPr>
          <w:p>
            <w:r>
              <w:rPr>
                <w:b/>
                <w:bCs/>
              </w:rPr>
              <w:t xml:space="preserve">Annual aggregate limit</w:t>
            </w:r>
          </w:p>
        </w:tc>
        <w:tc>
          <w:tcPr>
            <w:tcW w:type="dxa" w:w="5760"/>
            <w:tcMar>
              <w:top w:type="dxa" w:w="90"/>
              <w:left w:type="dxa" w:w="150"/>
              <w:bottom w:type="dxa" w:w="90"/>
              <w:right w:type="dxa" w:w="150"/>
            </w:tcMar>
            <w:vAlign w:val="center"/>
          </w:tcPr>
          <w:p>
            <w:r>
              <w:t xml:space="preserve">$100,000,000 (limit × (1 + reinstatements))</w:t>
            </w:r>
          </w:p>
        </w:tc>
      </w:tr>
    </w:tbl>
    <w:p>
      <w:pPr>
        <w:spacing w:after="120"/>
      </w:pPr>
    </w:p>
    <w:p>
      <w:pPr>
        <w:pStyle w:val="Heading2"/>
        <w:spacing w:after="120" w:before="280"/>
      </w:pPr>
      <w:r>
        <w:t xml:space="preserve">2.2 Data Supplied</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5760"/>
      </w:tblGrid>
      <w:tr>
        <w:tc>
          <w:tcPr>
            <w:tcW w:type="dxa" w:w="3600"/>
            <w:shd w:fill="F2F2F2" w:val="clear"/>
            <w:tcMar>
              <w:top w:type="dxa" w:w="90"/>
              <w:left w:type="dxa" w:w="150"/>
              <w:bottom w:type="dxa" w:w="90"/>
              <w:right w:type="dxa" w:w="150"/>
            </w:tcMar>
            <w:vAlign w:val="center"/>
          </w:tcPr>
          <w:p>
            <w:r>
              <w:rPr>
                <w:b/>
                <w:bCs/>
              </w:rPr>
              <w:t xml:space="preserve">Years of loss history</w:t>
            </w:r>
          </w:p>
        </w:tc>
        <w:tc>
          <w:tcPr>
            <w:tcW w:type="dxa" w:w="5760"/>
            <w:tcMar>
              <w:top w:type="dxa" w:w="90"/>
              <w:left w:type="dxa" w:w="150"/>
              <w:bottom w:type="dxa" w:w="90"/>
              <w:right w:type="dxa" w:w="150"/>
            </w:tcMar>
            <w:vAlign w:val="center"/>
          </w:tcPr>
          <w:p>
            <w:r>
              <w:t xml:space="preserve">11 years supplied (2017–2027); 10 complete years used for the loss analysis (2017–2026)</w:t>
            </w:r>
          </w:p>
        </w:tc>
      </w:tr>
      <w:tr>
        <w:tc>
          <w:tcPr>
            <w:tcW w:type="dxa" w:w="3600"/>
            <w:shd w:fill="FFFFFF" w:val="clear"/>
            <w:tcMar>
              <w:top w:type="dxa" w:w="90"/>
              <w:left w:type="dxa" w:w="150"/>
              <w:bottom w:type="dxa" w:w="90"/>
              <w:right w:type="dxa" w:w="150"/>
            </w:tcMar>
            <w:vAlign w:val="center"/>
          </w:tcPr>
          <w:p>
            <w:r>
              <w:rPr>
                <w:b/>
                <w:bCs/>
              </w:rPr>
              <w:t xml:space="preserve">Loss detail</w:t>
            </w:r>
          </w:p>
        </w:tc>
        <w:tc>
          <w:tcPr>
            <w:tcW w:type="dxa" w:w="5760"/>
            <w:tcMar>
              <w:top w:type="dxa" w:w="90"/>
              <w:left w:type="dxa" w:w="150"/>
              <w:bottom w:type="dxa" w:w="90"/>
              <w:right w:type="dxa" w:w="150"/>
            </w:tcMar>
            <w:vAlign w:val="center"/>
          </w:tcPr>
          <w:p>
            <w:r>
              <w:t xml:space="preserve">Individual event/occurrence level (not just annual totals) — this allows accurate application of the attachment and limit to each storm separately</w:t>
            </w:r>
          </w:p>
        </w:tc>
      </w:tr>
      <w:tr>
        <w:tc>
          <w:tcPr>
            <w:tcW w:type="dxa" w:w="3600"/>
            <w:shd w:fill="FFFFFF" w:val="clear"/>
            <w:tcMar>
              <w:top w:type="dxa" w:w="90"/>
              <w:left w:type="dxa" w:w="150"/>
              <w:bottom w:type="dxa" w:w="90"/>
              <w:right w:type="dxa" w:w="150"/>
            </w:tcMar>
            <w:vAlign w:val="center"/>
          </w:tcPr>
          <w:p>
            <w:r>
              <w:rPr>
                <w:b/>
                <w:bCs/>
              </w:rPr>
              <w:t xml:space="preserve">Premium history</w:t>
            </w:r>
          </w:p>
        </w:tc>
        <w:tc>
          <w:tcPr>
            <w:tcW w:type="dxa" w:w="5760"/>
            <w:tcMar>
              <w:top w:type="dxa" w:w="90"/>
              <w:left w:type="dxa" w:w="150"/>
              <w:bottom w:type="dxa" w:w="90"/>
              <w:right w:type="dxa" w:w="150"/>
            </w:tcMar>
            <w:vAlign w:val="center"/>
          </w:tcPr>
          <w:p>
            <w:r>
              <w:t xml:space="preserve">Supplied for 2017–2026</w:t>
            </w:r>
          </w:p>
        </w:tc>
      </w:tr>
      <w:tr>
        <w:tc>
          <w:tcPr>
            <w:tcW w:type="dxa" w:w="3600"/>
            <w:shd w:fill="FFFFFF" w:val="clear"/>
            <w:tcMar>
              <w:top w:type="dxa" w:w="90"/>
              <w:left w:type="dxa" w:w="150"/>
              <w:bottom w:type="dxa" w:w="90"/>
              <w:right w:type="dxa" w:w="150"/>
            </w:tcMar>
            <w:vAlign w:val="center"/>
          </w:tcPr>
          <w:p>
            <w:r>
              <w:rPr>
                <w:b/>
                <w:bCs/>
              </w:rPr>
              <w:t xml:space="preserve">Exposure (TIV) history</w:t>
            </w:r>
          </w:p>
        </w:tc>
        <w:tc>
          <w:tcPr>
            <w:tcW w:type="dxa" w:w="5760"/>
            <w:tcMar>
              <w:top w:type="dxa" w:w="90"/>
              <w:left w:type="dxa" w:w="150"/>
              <w:bottom w:type="dxa" w:w="90"/>
              <w:right w:type="dxa" w:w="150"/>
            </w:tcMar>
            <w:vAlign w:val="center"/>
          </w:tcPr>
          <w:p>
            <w:r>
              <w:t xml:space="preserve">Supplied for 2017–2027 (total insured value each year)</w:t>
            </w:r>
          </w:p>
        </w:tc>
      </w:tr>
    </w:tbl>
    <w:p>
      <w:pPr>
        <w:spacing w:after="120"/>
      </w:pPr>
    </w:p>
    <w:p>
      <w:pPr>
        <w:pStyle w:val="Heading2"/>
        <w:spacing w:after="120" w:before="280"/>
      </w:pPr>
      <w:r>
        <w:t xml:space="preserve">2.3 Data Validation Findings</w:t>
      </w:r>
    </w:p>
    <w:tbl>
      <w:tblPr>
        <w:tblW w:type="dxa" w:w="9360"/>
        <w:tblBorders>
          <w:top w:val="single" w:color="1E6B1E" w:sz="4"/>
          <w:left w:val="single" w:color="1E6B1E" w:sz="16"/>
          <w:bottom w:val="single" w:color="1E6B1E" w:sz="4"/>
          <w:right w:val="single" w:color="1E6B1E" w:sz="4"/>
          <w:insideH w:val="single" w:color="auto" w:sz="4"/>
          <w:insideV w:val="single" w:color="auto" w:sz="4"/>
        </w:tblBorders>
      </w:tblPr>
      <w:tblGrid>
        <w:gridCol w:w="9360"/>
      </w:tblGrid>
      <w:tr>
        <w:tc>
          <w:tcPr>
            <w:tcW w:type="dxa" w:w="9360"/>
            <w:shd w:fill="E7F3E8" w:val="clear"/>
            <w:tcMar>
              <w:top w:type="dxa" w:w="140"/>
              <w:left w:type="dxa" w:w="200"/>
              <w:bottom w:type="dxa" w:w="140"/>
              <w:right w:type="dxa" w:w="200"/>
            </w:tcMar>
          </w:tcPr>
          <w:p>
            <w:pPr>
              <w:spacing w:after="60"/>
            </w:pPr>
            <w:r>
              <w:rPr>
                <w:b/>
                <w:bCs/>
                <w:color w:val="1E6B1E"/>
              </w:rPr>
              <w:t xml:space="preserve">In Plain English</w:t>
            </w:r>
          </w:p>
          <w:p>
            <w:pPr>
              <w:spacing w:after="0" w:line="270"/>
            </w:pPr>
            <w:r>
              <w:t xml:space="preserve">The governed process requires at least 10 years of history before it will price a cat layer at all, and prefers 10 or more before treating the result as a full, unflagged indication. This submission cleared that bar. One minor gap was found — no premium figure was supplied for the renewal year itself (2027), which is expected since that is the year being quoted, not a completed year — and is noted below for transparency rather than treated as a problem.</w:t>
            </w:r>
          </w:p>
        </w:tc>
      </w:tr>
    </w:tbl>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4000"/>
        <w:gridCol w:w="5360"/>
      </w:tblGrid>
      <w:tr>
        <w:trPr>
          <w:tblHeader/>
        </w:trPr>
        <w:tc>
          <w:tcPr>
            <w:tcW w:type="dxa" w:w="4000"/>
            <w:shd w:fill="1F3864" w:val="clear"/>
            <w:tcMar>
              <w:top w:type="dxa" w:w="90"/>
              <w:left w:type="dxa" w:w="120"/>
              <w:bottom w:type="dxa" w:w="90"/>
              <w:right w:type="dxa" w:w="120"/>
            </w:tcMar>
            <w:vAlign w:val="center"/>
          </w:tcPr>
          <w:p>
            <w:pPr>
              <w:jc w:val="left"/>
            </w:pPr>
            <w:r>
              <w:rPr>
                <w:b/>
                <w:bCs/>
                <w:color w:val="FFFFFF"/>
              </w:rPr>
              <w:t xml:space="preserve">Check</w:t>
            </w:r>
          </w:p>
        </w:tc>
        <w:tc>
          <w:tcPr>
            <w:tcW w:type="dxa" w:w="5360"/>
            <w:shd w:fill="1F3864" w:val="clear"/>
            <w:tcMar>
              <w:top w:type="dxa" w:w="90"/>
              <w:left w:type="dxa" w:w="120"/>
              <w:bottom w:type="dxa" w:w="90"/>
              <w:right w:type="dxa" w:w="120"/>
            </w:tcMar>
            <w:vAlign w:val="center"/>
          </w:tcPr>
          <w:p>
            <w:pPr>
              <w:jc w:val="right"/>
            </w:pPr>
            <w:r>
              <w:rPr>
                <w:b/>
                <w:bCs/>
                <w:color w:val="FFFFFF"/>
              </w:rPr>
              <w:t xml:space="preserve">Result</w:t>
            </w:r>
          </w:p>
        </w:tc>
      </w:tr>
      <w:tr>
        <w:tc>
          <w:tcPr>
            <w:tcW w:type="dxa" w:w="4000"/>
            <w:shd w:fill="FFFFFF" w:val="clear"/>
            <w:tcMar>
              <w:top w:type="dxa" w:w="80"/>
              <w:left w:type="dxa" w:w="120"/>
              <w:bottom w:type="dxa" w:w="80"/>
              <w:right w:type="dxa" w:w="120"/>
            </w:tcMar>
            <w:vAlign w:val="center"/>
          </w:tcPr>
          <w:p>
            <w:pPr>
              <w:jc w:val="left"/>
            </w:pPr>
            <w:r>
              <w:t xml:space="preserve">Minimum years of history (10) met?</w:t>
            </w:r>
          </w:p>
        </w:tc>
        <w:tc>
          <w:tcPr>
            <w:tcW w:type="dxa" w:w="5360"/>
            <w:shd w:fill="FFFFFF" w:val="clear"/>
            <w:tcMar>
              <w:top w:type="dxa" w:w="80"/>
              <w:left w:type="dxa" w:w="120"/>
              <w:bottom w:type="dxa" w:w="80"/>
              <w:right w:type="dxa" w:w="120"/>
            </w:tcMar>
            <w:vAlign w:val="center"/>
          </w:tcPr>
          <w:p>
            <w:pPr>
              <w:jc w:val="right"/>
            </w:pPr>
            <w:r>
              <w:t xml:space="preserve">Yes — 11 years supplied</w:t>
            </w:r>
          </w:p>
        </w:tc>
      </w:tr>
      <w:tr>
        <w:tc>
          <w:tcPr>
            <w:tcW w:type="dxa" w:w="4000"/>
            <w:shd w:fill="F2F2F2" w:val="clear"/>
            <w:tcMar>
              <w:top w:type="dxa" w:w="80"/>
              <w:left w:type="dxa" w:w="120"/>
              <w:bottom w:type="dxa" w:w="80"/>
              <w:right w:type="dxa" w:w="120"/>
            </w:tcMar>
            <w:vAlign w:val="center"/>
          </w:tcPr>
          <w:p>
            <w:pPr>
              <w:jc w:val="left"/>
            </w:pPr>
            <w:r>
              <w:t xml:space="preserve">Status</w:t>
            </w:r>
          </w:p>
        </w:tc>
        <w:tc>
          <w:tcPr>
            <w:tcW w:type="dxa" w:w="5360"/>
            <w:shd w:fill="F2F2F2" w:val="clear"/>
            <w:tcMar>
              <w:top w:type="dxa" w:w="80"/>
              <w:left w:type="dxa" w:w="120"/>
              <w:bottom w:type="dxa" w:w="80"/>
              <w:right w:type="dxa" w:w="120"/>
            </w:tcMar>
            <w:vAlign w:val="center"/>
          </w:tcPr>
          <w:p>
            <w:pPr>
              <w:jc w:val="right"/>
            </w:pPr>
            <w:r>
              <w:t xml:space="preserve">PASS WITH FLAGS</w:t>
            </w:r>
          </w:p>
        </w:tc>
      </w:tr>
      <w:tr>
        <w:tc>
          <w:tcPr>
            <w:tcW w:type="dxa" w:w="4000"/>
            <w:shd w:fill="FFFFFF" w:val="clear"/>
            <w:tcMar>
              <w:top w:type="dxa" w:w="80"/>
              <w:left w:type="dxa" w:w="120"/>
              <w:bottom w:type="dxa" w:w="80"/>
              <w:right w:type="dxa" w:w="120"/>
            </w:tcMar>
            <w:vAlign w:val="center"/>
          </w:tcPr>
          <w:p>
            <w:pPr>
              <w:jc w:val="left"/>
            </w:pPr>
            <w:r>
              <w:t xml:space="preserve">Issue(s) identified</w:t>
            </w:r>
          </w:p>
        </w:tc>
        <w:tc>
          <w:tcPr>
            <w:tcW w:type="dxa" w:w="5360"/>
            <w:shd w:fill="FFFFFF" w:val="clear"/>
            <w:tcMar>
              <w:top w:type="dxa" w:w="80"/>
              <w:left w:type="dxa" w:w="120"/>
              <w:bottom w:type="dxa" w:w="80"/>
              <w:right w:type="dxa" w:w="120"/>
            </w:tcMar>
            <w:vAlign w:val="center"/>
          </w:tcPr>
          <w:p>
            <w:pPr>
              <w:jc w:val="right"/>
            </w:pPr>
            <w:r>
              <w:t xml:space="preserve">Missing premium for year 2027 (the renewal year — expected, since it has not yet been charged)</w:t>
            </w:r>
          </w:p>
        </w:tc>
      </w:tr>
      <w:tr>
        <w:tc>
          <w:tcPr>
            <w:tcW w:type="dxa" w:w="4000"/>
            <w:shd w:fill="F2F2F2" w:val="clear"/>
            <w:tcMar>
              <w:top w:type="dxa" w:w="80"/>
              <w:left w:type="dxa" w:w="120"/>
              <w:bottom w:type="dxa" w:w="80"/>
              <w:right w:type="dxa" w:w="120"/>
            </w:tcMar>
            <w:vAlign w:val="center"/>
          </w:tcPr>
          <w:p>
            <w:pPr>
              <w:jc w:val="left"/>
            </w:pPr>
            <w:r>
              <w:t xml:space="preserve">Data-limitation flag applied?</w:t>
            </w:r>
          </w:p>
        </w:tc>
        <w:tc>
          <w:tcPr>
            <w:tcW w:type="dxa" w:w="5360"/>
            <w:shd w:fill="F2F2F2" w:val="clear"/>
            <w:tcMar>
              <w:top w:type="dxa" w:w="80"/>
              <w:left w:type="dxa" w:w="120"/>
              <w:bottom w:type="dxa" w:w="80"/>
              <w:right w:type="dxa" w:w="120"/>
            </w:tcMar>
            <w:vAlign w:val="center"/>
          </w:tcPr>
          <w:p>
            <w:pPr>
              <w:jc w:val="right"/>
            </w:pPr>
            <w:r>
              <w:t xml:space="preserve">No — full 10-year standard met, so no credibility penalty was applied for data volume</w:t>
            </w:r>
          </w:p>
        </w:tc>
      </w:tr>
    </w:tbl>
    <w:p>
      <w:pPr>
        <w:spacing w:after="160" w:line="276"/>
      </w:pPr>
      <w:r>
        <w:rPr>
          <w:i/>
          <w:iCs/>
          <w:color w:val="666666"/>
          <w:sz w:val="20"/>
          <w:szCs w:val="20"/>
        </w:rPr>
        <w:t xml:space="preserve">Governed tool used: validate_pricing_submission()</w:t>
      </w:r>
    </w:p>
    <w:p>
      <w:r>
        <w:br w:type="page"/>
      </w:r>
    </w:p>
    <w:p>
      <w:pPr>
        <w:pStyle w:val="Heading1"/>
        <w:spacing w:after="160" w:before="360"/>
      </w:pPr>
      <w:r>
        <w:t xml:space="preserve">3. Step 1 of 8 — Bringing Past Losses and Premium Up to Date (“Trend and On-Level”)</w:t>
      </w:r>
    </w:p>
    <w:tbl>
      <w:tblPr>
        <w:tblW w:type="dxa" w:w="9360"/>
        <w:tblBorders>
          <w:top w:val="single" w:color="1F3864" w:sz="4"/>
          <w:left w:val="single" w:color="1F3864" w:sz="16"/>
          <w:bottom w:val="single" w:color="1F3864" w:sz="4"/>
          <w:right w:val="single" w:color="1F3864" w:sz="4"/>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1F3864"/>
              </w:rPr>
              <w:t xml:space="preserve">In Plain English</w:t>
            </w:r>
          </w:p>
          <w:p>
            <w:pPr>
              <w:spacing w:after="0" w:line="270"/>
            </w:pPr>
            <w:r>
              <w:t xml:space="preserve">A storm that caused $65 million of damage in 2019 would cost more to rebuild today — materials, labour and property values have all gone up since then. Before we can compare old losses to today's premium on a fair basis, we have to “inflate” each historical loss to what it would cost if it happened today, and similarly scale up each year's premium to reflect today's amount of insured property (TIV, or ‘total insured value’). This step does both of those adjustments. Without it, older years would look artificially cheap simply because the world was smaller and less expensive back then — not because the risk was actually lower.</w:t>
            </w:r>
          </w:p>
        </w:tc>
      </w:tr>
    </w:tbl>
    <w:p>
      <w:pPr>
        <w:pStyle w:val="Heading2"/>
        <w:spacing w:after="120" w:before="280"/>
      </w:pPr>
      <w:r>
        <w:t xml:space="preserve">3.1 Why 6.00% per year for loss trend?</w:t>
      </w:r>
    </w:p>
    <w:p>
      <w:pPr>
        <w:spacing w:after="160" w:line="276"/>
      </w:pPr>
      <w:r>
        <w:t xml:space="preserve">This submission is priced on a wind (tropical cyclone / windstorm) basis. Our approved assumptions document specifies a fixed annual loss trend for each peril, so that every wind submission across the book is trended consistently rather than each analyst or agent choosing its own number. The approved wind trend is 6.00% per year, reflecting rebuild cost inflation, growing property values in wind-exposed regions, and current view of climate-related severity trends for this peril. This figure is fixed in the governed reference document and the agent is not permitted to substitute a different number — doing so would require sign-off from the Chief Actuary (see Section 7 on guardrails).</w:t>
      </w:r>
    </w:p>
    <w:p>
      <w:pPr>
        <w:pStyle w:val="Heading2"/>
        <w:spacing w:after="120" w:before="280"/>
      </w:pPr>
      <w:r>
        <w:t xml:space="preserve">3.2 Why 4.00% per year for exposure (TIV) trend?</w:t>
      </w:r>
    </w:p>
    <w:p>
      <w:pPr>
        <w:spacing w:after="160" w:line="276"/>
      </w:pPr>
      <w:r>
        <w:t xml:space="preserve">Total insured value was supplied for every year in this submission, so the on-levelling of premium uses the cedant's own reported TIV growth rather than an assumption — each year's premium is scaled up in proportion to how much TIV has grown between that year and today. The 4.00% figure shown is the approved fallback default for years where TIV growth might otherwise be estimated, and is shown here for completeness; because usable TIV was available for all years in this case, the calculation used the cedant's actual reported values.</w:t>
      </w:r>
    </w:p>
    <w:p>
      <w:pPr>
        <w:pStyle w:val="Heading2"/>
        <w:spacing w:after="120" w:before="280"/>
      </w:pPr>
      <w:r>
        <w:t xml:space="preserve">3.3 The formula</w:t>
      </w:r>
    </w:p>
    <w:tbl>
      <w:tblPr>
        <w:tblW w:type="dxa" w:w="9360"/>
        <w:tblBorders>
          <w:top w:val="single" w:color="444444" w:sz="4"/>
          <w:left w:val="single" w:color="444444" w:sz="16"/>
          <w:bottom w:val="single" w:color="444444" w:sz="4"/>
          <w:right w:val="single" w:color="444444" w:sz="4"/>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60"/>
            </w:pPr>
            <w:r>
              <w:rPr>
                <w:b/>
                <w:bCs/>
                <w:color w:val="444444"/>
              </w:rPr>
              <w:t xml:space="preserve">Formula</w:t>
            </w:r>
          </w:p>
          <w:p>
            <w:pPr>
              <w:spacing w:after="0" w:line="270"/>
            </w:pPr>
            <w:r>
              <w:t xml:space="preserve">Trended loss = original loss amount × (1 + trend rate) ^ (current year − loss year)
On-level premium = original premium × (current year TIV ÷ that year's TIV)</w:t>
            </w:r>
          </w:p>
        </w:tc>
      </w:tr>
    </w:tbl>
    <w:p>
      <w:pPr>
        <w:spacing w:after="160" w:line="276"/>
      </w:pPr>
      <w:r>
        <w:t xml:space="preserve">For example, the 2019 event (“Windstorm B”, $65,000,000) is trended 8 years to 2027:</w:t>
      </w:r>
    </w:p>
    <w:tbl>
      <w:tblPr>
        <w:tblW w:type="dxa" w:w="9360"/>
        <w:tblBorders>
          <w:top w:val="single" w:color="8A6D00" w:sz="4"/>
          <w:left w:val="single" w:color="8A6D00" w:sz="16"/>
          <w:bottom w:val="single" w:color="8A6D00" w:sz="4"/>
          <w:right w:val="single" w:color="8A6D00" w:sz="4"/>
          <w:insideH w:val="single" w:color="auto" w:sz="4"/>
          <w:insideV w:val="single" w:color="auto" w:sz="4"/>
        </w:tblBorders>
      </w:tblPr>
      <w:tblGrid>
        <w:gridCol w:w="9360"/>
      </w:tblGrid>
      <w:tr>
        <w:tc>
          <w:tcPr>
            <w:tcW w:type="dxa" w:w="9360"/>
            <w:shd w:fill="FDF2D0" w:val="clear"/>
            <w:tcMar>
              <w:top w:type="dxa" w:w="140"/>
              <w:left w:type="dxa" w:w="200"/>
              <w:bottom w:type="dxa" w:w="140"/>
              <w:right w:type="dxa" w:w="200"/>
            </w:tcMar>
          </w:tcPr>
          <w:p>
            <w:pPr>
              <w:spacing w:after="60"/>
            </w:pPr>
            <w:r>
              <w:rPr>
                <w:b/>
                <w:bCs/>
                <w:color w:val="8A6D00"/>
              </w:rPr>
              <w:t xml:space="preserve">Worked Example</w:t>
            </w:r>
          </w:p>
          <w:p>
            <w:pPr>
              <w:spacing w:after="0" w:line="270"/>
            </w:pPr>
            <w:r>
              <w:t xml:space="preserve">$65,000,000 × (1.06)^8 = $65,000,000 × 1.5938 = $103,600,125</w:t>
            </w:r>
          </w:p>
        </w:tc>
      </w:tr>
    </w:tbl>
    <w:p>
      <w:pPr>
        <w:pStyle w:val="Heading2"/>
        <w:spacing w:after="120" w:before="280"/>
      </w:pPr>
      <w:r>
        <w:t xml:space="preserve">3.4 Results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1500"/>
        <w:gridCol w:w="4130"/>
        <w:gridCol w:w="3730"/>
      </w:tblGrid>
      <w:tr>
        <w:trPr>
          <w:tblHeader/>
        </w:trPr>
        <w:tc>
          <w:tcPr>
            <w:tcW w:type="dxa" w:w="1500"/>
            <w:shd w:fill="1F3864" w:val="clear"/>
            <w:tcMar>
              <w:top w:type="dxa" w:w="90"/>
              <w:left w:type="dxa" w:w="120"/>
              <w:bottom w:type="dxa" w:w="90"/>
              <w:right w:type="dxa" w:w="120"/>
            </w:tcMar>
            <w:vAlign w:val="center"/>
          </w:tcPr>
          <w:p>
            <w:pPr>
              <w:jc w:val="left"/>
            </w:pPr>
            <w:r>
              <w:rPr>
                <w:b/>
                <w:bCs/>
                <w:color w:val="FFFFFF"/>
              </w:rPr>
              <w:t xml:space="preserve">Year</w:t>
            </w:r>
          </w:p>
        </w:tc>
        <w:tc>
          <w:tcPr>
            <w:tcW w:type="dxa" w:w="4130"/>
            <w:shd w:fill="1F3864" w:val="clear"/>
            <w:tcMar>
              <w:top w:type="dxa" w:w="90"/>
              <w:left w:type="dxa" w:w="120"/>
              <w:bottom w:type="dxa" w:w="90"/>
              <w:right w:type="dxa" w:w="120"/>
            </w:tcMar>
            <w:vAlign w:val="center"/>
          </w:tcPr>
          <w:p>
            <w:pPr>
              <w:jc w:val="right"/>
            </w:pPr>
            <w:r>
              <w:rPr>
                <w:b/>
                <w:bCs/>
                <w:color w:val="FFFFFF"/>
              </w:rPr>
              <w:t xml:space="preserve">Original Loss</w:t>
            </w:r>
          </w:p>
        </w:tc>
        <w:tc>
          <w:tcPr>
            <w:tcW w:type="dxa" w:w="3730"/>
            <w:shd w:fill="1F3864" w:val="clear"/>
            <w:tcMar>
              <w:top w:type="dxa" w:w="90"/>
              <w:left w:type="dxa" w:w="120"/>
              <w:bottom w:type="dxa" w:w="90"/>
              <w:right w:type="dxa" w:w="120"/>
            </w:tcMar>
            <w:vAlign w:val="center"/>
          </w:tcPr>
          <w:p>
            <w:pPr>
              <w:jc w:val="right"/>
            </w:pPr>
            <w:r>
              <w:rPr>
                <w:b/>
                <w:bCs/>
                <w:color w:val="FFFFFF"/>
              </w:rPr>
              <w:t xml:space="preserve">Trended to 2027</w:t>
            </w:r>
          </w:p>
        </w:tc>
      </w:tr>
      <w:tr>
        <w:tc>
          <w:tcPr>
            <w:tcW w:type="dxa" w:w="1500"/>
            <w:shd w:fill="FFFFFF" w:val="clear"/>
            <w:tcMar>
              <w:top w:type="dxa" w:w="80"/>
              <w:left w:type="dxa" w:w="120"/>
              <w:bottom w:type="dxa" w:w="80"/>
              <w:right w:type="dxa" w:w="120"/>
            </w:tcMar>
            <w:vAlign w:val="center"/>
          </w:tcPr>
          <w:p>
            <w:pPr>
              <w:jc w:val="left"/>
            </w:pPr>
            <w:r>
              <w:t xml:space="preserve">2017</w:t>
            </w:r>
          </w:p>
        </w:tc>
        <w:tc>
          <w:tcPr>
            <w:tcW w:type="dxa" w:w="4130"/>
            <w:shd w:fill="FFFFFF" w:val="clear"/>
            <w:tcMar>
              <w:top w:type="dxa" w:w="80"/>
              <w:left w:type="dxa" w:w="120"/>
              <w:bottom w:type="dxa" w:w="80"/>
              <w:right w:type="dxa" w:w="120"/>
            </w:tcMar>
            <w:vAlign w:val="center"/>
          </w:tcPr>
          <w:p>
            <w:pPr>
              <w:jc w:val="right"/>
            </w:pPr>
            <w:r>
              <w:t xml:space="preserve">$20,000,000 (Hurricane A)</w:t>
            </w:r>
          </w:p>
        </w:tc>
        <w:tc>
          <w:tcPr>
            <w:tcW w:type="dxa" w:w="3730"/>
            <w:shd w:fill="FFFFFF" w:val="clear"/>
            <w:tcMar>
              <w:top w:type="dxa" w:w="80"/>
              <w:left w:type="dxa" w:w="120"/>
              <w:bottom w:type="dxa" w:w="80"/>
              <w:right w:type="dxa" w:w="120"/>
            </w:tcMar>
            <w:vAlign w:val="center"/>
          </w:tcPr>
          <w:p>
            <w:pPr>
              <w:jc w:val="right"/>
            </w:pPr>
            <w:r>
              <w:t xml:space="preserve">$35,816,954</w:t>
            </w:r>
          </w:p>
        </w:tc>
      </w:tr>
      <w:tr>
        <w:tc>
          <w:tcPr>
            <w:tcW w:type="dxa" w:w="1500"/>
            <w:shd w:fill="F2F2F2" w:val="clear"/>
            <w:tcMar>
              <w:top w:type="dxa" w:w="80"/>
              <w:left w:type="dxa" w:w="120"/>
              <w:bottom w:type="dxa" w:w="80"/>
              <w:right w:type="dxa" w:w="120"/>
            </w:tcMar>
            <w:vAlign w:val="center"/>
          </w:tcPr>
          <w:p>
            <w:pPr>
              <w:jc w:val="left"/>
            </w:pPr>
            <w:r>
              <w:t xml:space="preserve">2019</w:t>
            </w:r>
          </w:p>
        </w:tc>
        <w:tc>
          <w:tcPr>
            <w:tcW w:type="dxa" w:w="4130"/>
            <w:shd w:fill="F2F2F2" w:val="clear"/>
            <w:tcMar>
              <w:top w:type="dxa" w:w="80"/>
              <w:left w:type="dxa" w:w="120"/>
              <w:bottom w:type="dxa" w:w="80"/>
              <w:right w:type="dxa" w:w="120"/>
            </w:tcMar>
            <w:vAlign w:val="center"/>
          </w:tcPr>
          <w:p>
            <w:pPr>
              <w:jc w:val="right"/>
            </w:pPr>
            <w:r>
              <w:t xml:space="preserve">$65,000,000 (Windstorm B)</w:t>
            </w:r>
          </w:p>
        </w:tc>
        <w:tc>
          <w:tcPr>
            <w:tcW w:type="dxa" w:w="3730"/>
            <w:shd w:fill="F2F2F2" w:val="clear"/>
            <w:tcMar>
              <w:top w:type="dxa" w:w="80"/>
              <w:left w:type="dxa" w:w="120"/>
              <w:bottom w:type="dxa" w:w="80"/>
              <w:right w:type="dxa" w:w="120"/>
            </w:tcMar>
            <w:vAlign w:val="center"/>
          </w:tcPr>
          <w:p>
            <w:pPr>
              <w:jc w:val="right"/>
            </w:pPr>
            <w:r>
              <w:t xml:space="preserve">$103,600,125</w:t>
            </w:r>
          </w:p>
        </w:tc>
      </w:tr>
      <w:tr>
        <w:tc>
          <w:tcPr>
            <w:tcW w:type="dxa" w:w="1500"/>
            <w:shd w:fill="FFFFFF" w:val="clear"/>
            <w:tcMar>
              <w:top w:type="dxa" w:w="80"/>
              <w:left w:type="dxa" w:w="120"/>
              <w:bottom w:type="dxa" w:w="80"/>
              <w:right w:type="dxa" w:w="120"/>
            </w:tcMar>
            <w:vAlign w:val="center"/>
          </w:tcPr>
          <w:p>
            <w:pPr>
              <w:jc w:val="left"/>
            </w:pPr>
            <w:r>
              <w:t xml:space="preserve">2021</w:t>
            </w:r>
          </w:p>
        </w:tc>
        <w:tc>
          <w:tcPr>
            <w:tcW w:type="dxa" w:w="4130"/>
            <w:shd w:fill="FFFFFF" w:val="clear"/>
            <w:tcMar>
              <w:top w:type="dxa" w:w="80"/>
              <w:left w:type="dxa" w:w="120"/>
              <w:bottom w:type="dxa" w:w="80"/>
              <w:right w:type="dxa" w:w="120"/>
            </w:tcMar>
            <w:vAlign w:val="center"/>
          </w:tcPr>
          <w:p>
            <w:pPr>
              <w:jc w:val="right"/>
            </w:pPr>
            <w:r>
              <w:t xml:space="preserve">$110,000,000 (Hurricane C)</w:t>
            </w:r>
          </w:p>
        </w:tc>
        <w:tc>
          <w:tcPr>
            <w:tcW w:type="dxa" w:w="3730"/>
            <w:shd w:fill="FFFFFF" w:val="clear"/>
            <w:tcMar>
              <w:top w:type="dxa" w:w="80"/>
              <w:left w:type="dxa" w:w="120"/>
              <w:bottom w:type="dxa" w:w="80"/>
              <w:right w:type="dxa" w:w="120"/>
            </w:tcMar>
            <w:vAlign w:val="center"/>
          </w:tcPr>
          <w:p>
            <w:pPr>
              <w:jc w:val="right"/>
            </w:pPr>
            <w:r>
              <w:t xml:space="preserve">$156,037,102</w:t>
            </w:r>
          </w:p>
        </w:tc>
      </w:tr>
      <w:tr>
        <w:tc>
          <w:tcPr>
            <w:tcW w:type="dxa" w:w="1500"/>
            <w:shd w:fill="F2F2F2" w:val="clear"/>
            <w:tcMar>
              <w:top w:type="dxa" w:w="80"/>
              <w:left w:type="dxa" w:w="120"/>
              <w:bottom w:type="dxa" w:w="80"/>
              <w:right w:type="dxa" w:w="120"/>
            </w:tcMar>
            <w:vAlign w:val="center"/>
          </w:tcPr>
          <w:p>
            <w:pPr>
              <w:jc w:val="left"/>
            </w:pPr>
            <w:r>
              <w:t xml:space="preserve">2023</w:t>
            </w:r>
          </w:p>
        </w:tc>
        <w:tc>
          <w:tcPr>
            <w:tcW w:type="dxa" w:w="4130"/>
            <w:shd w:fill="F2F2F2" w:val="clear"/>
            <w:tcMar>
              <w:top w:type="dxa" w:w="80"/>
              <w:left w:type="dxa" w:w="120"/>
              <w:bottom w:type="dxa" w:w="80"/>
              <w:right w:type="dxa" w:w="120"/>
            </w:tcMar>
            <w:vAlign w:val="center"/>
          </w:tcPr>
          <w:p>
            <w:pPr>
              <w:jc w:val="right"/>
            </w:pPr>
            <w:r>
              <w:t xml:space="preserve">$15,000,000 (Windstorm D)</w:t>
            </w:r>
          </w:p>
        </w:tc>
        <w:tc>
          <w:tcPr>
            <w:tcW w:type="dxa" w:w="3730"/>
            <w:shd w:fill="F2F2F2" w:val="clear"/>
            <w:tcMar>
              <w:top w:type="dxa" w:w="80"/>
              <w:left w:type="dxa" w:w="120"/>
              <w:bottom w:type="dxa" w:w="80"/>
              <w:right w:type="dxa" w:w="120"/>
            </w:tcMar>
            <w:vAlign w:val="center"/>
          </w:tcPr>
          <w:p>
            <w:pPr>
              <w:jc w:val="right"/>
            </w:pPr>
            <w:r>
              <w:t xml:space="preserve">$18,937,154</w:t>
            </w:r>
          </w:p>
        </w:tc>
      </w:tr>
      <w:tr>
        <w:tc>
          <w:tcPr>
            <w:tcW w:type="dxa" w:w="1500"/>
            <w:shd w:fill="FFFFFF" w:val="clear"/>
            <w:tcMar>
              <w:top w:type="dxa" w:w="80"/>
              <w:left w:type="dxa" w:w="120"/>
              <w:bottom w:type="dxa" w:w="80"/>
              <w:right w:type="dxa" w:w="120"/>
            </w:tcMar>
            <w:vAlign w:val="center"/>
          </w:tcPr>
          <w:p>
            <w:pPr>
              <w:jc w:val="left"/>
            </w:pPr>
            <w:r>
              <w:t xml:space="preserve">2025</w:t>
            </w:r>
          </w:p>
        </w:tc>
        <w:tc>
          <w:tcPr>
            <w:tcW w:type="dxa" w:w="4130"/>
            <w:shd w:fill="FFFFFF" w:val="clear"/>
            <w:tcMar>
              <w:top w:type="dxa" w:w="80"/>
              <w:left w:type="dxa" w:w="120"/>
              <w:bottom w:type="dxa" w:w="80"/>
              <w:right w:type="dxa" w:w="120"/>
            </w:tcMar>
            <w:vAlign w:val="center"/>
          </w:tcPr>
          <w:p>
            <w:pPr>
              <w:jc w:val="right"/>
            </w:pPr>
            <w:r>
              <w:t xml:space="preserve">$78,000,000 (Hurricane E)</w:t>
            </w:r>
          </w:p>
        </w:tc>
        <w:tc>
          <w:tcPr>
            <w:tcW w:type="dxa" w:w="3730"/>
            <w:shd w:fill="FFFFFF" w:val="clear"/>
            <w:tcMar>
              <w:top w:type="dxa" w:w="80"/>
              <w:left w:type="dxa" w:w="120"/>
              <w:bottom w:type="dxa" w:w="80"/>
              <w:right w:type="dxa" w:w="120"/>
            </w:tcMar>
            <w:vAlign w:val="center"/>
          </w:tcPr>
          <w:p>
            <w:pPr>
              <w:jc w:val="right"/>
            </w:pPr>
            <w:r>
              <w:t xml:space="preserve">$87,640,800</w:t>
            </w:r>
          </w:p>
        </w:tc>
      </w:tr>
      <w:tr>
        <w:tc>
          <w:tcPr>
            <w:tcW w:type="dxa" w:w="1500"/>
            <w:shd w:fill="F2F2F2" w:val="clear"/>
            <w:tcMar>
              <w:top w:type="dxa" w:w="80"/>
              <w:left w:type="dxa" w:w="120"/>
              <w:bottom w:type="dxa" w:w="80"/>
              <w:right w:type="dxa" w:w="120"/>
            </w:tcMar>
            <w:vAlign w:val="center"/>
          </w:tcPr>
          <w:p>
            <w:pPr>
              <w:jc w:val="left"/>
            </w:pPr>
            <w:r>
              <w:t xml:space="preserve">2026</w:t>
            </w:r>
          </w:p>
        </w:tc>
        <w:tc>
          <w:tcPr>
            <w:tcW w:type="dxa" w:w="4130"/>
            <w:shd w:fill="F2F2F2" w:val="clear"/>
            <w:tcMar>
              <w:top w:type="dxa" w:w="80"/>
              <w:left w:type="dxa" w:w="120"/>
              <w:bottom w:type="dxa" w:w="80"/>
              <w:right w:type="dxa" w:w="120"/>
            </w:tcMar>
            <w:vAlign w:val="center"/>
          </w:tcPr>
          <w:p>
            <w:pPr>
              <w:jc w:val="right"/>
            </w:pPr>
            <w:r>
              <w:t xml:space="preserve">$5,000,000 (Windstorm F)</w:t>
            </w:r>
          </w:p>
        </w:tc>
        <w:tc>
          <w:tcPr>
            <w:tcW w:type="dxa" w:w="3730"/>
            <w:shd w:fill="F2F2F2" w:val="clear"/>
            <w:tcMar>
              <w:top w:type="dxa" w:w="80"/>
              <w:left w:type="dxa" w:w="120"/>
              <w:bottom w:type="dxa" w:w="80"/>
              <w:right w:type="dxa" w:w="120"/>
            </w:tcMar>
            <w:vAlign w:val="center"/>
          </w:tcPr>
          <w:p>
            <w:pPr>
              <w:jc w:val="right"/>
            </w:pPr>
            <w:r>
              <w:t xml:space="preserve">$5,300,000</w:t>
            </w:r>
          </w:p>
        </w:tc>
      </w:tr>
    </w:tbl>
    <w:p>
      <w:pPr>
        <w:spacing w:after="160" w:line="276"/>
      </w:pPr>
      <w:r>
        <w:rPr>
          <w:sz w:val="22"/>
          <w:szCs w:val="22"/>
        </w:rPr>
        <w:t xml:space="preserve">Premium was on-levelled the same way using each year's TIV growth relative to 2027; on-level premium ranged from roughly $8.37 million to $8.95 million across the ten years used, once each year's premium was scaled up to today's exposure level.</w:t>
      </w:r>
    </w:p>
    <w:p>
      <w:pPr>
        <w:spacing w:after="160" w:line="276"/>
      </w:pPr>
      <w:r>
        <w:rPr>
          <w:i/>
          <w:iCs/>
          <w:color w:val="666666"/>
          <w:sz w:val="20"/>
          <w:szCs w:val="20"/>
        </w:rPr>
        <w:t xml:space="preserve">Governed tool used: trend_and_onlevel_claims()</w:t>
      </w:r>
    </w:p>
    <w:p>
      <w:r>
        <w:br w:type="page"/>
      </w:r>
    </w:p>
    <w:p>
      <w:pPr>
        <w:pStyle w:val="Heading1"/>
        <w:spacing w:after="160" w:before="360"/>
      </w:pPr>
      <w:r>
        <w:t xml:space="preserve">4. Step 2 of 8 — Applying the Treaty Terms to Each Loss</w:t>
      </w:r>
    </w:p>
    <w:tbl>
      <w:tblPr>
        <w:tblW w:type="dxa" w:w="9360"/>
        <w:tblBorders>
          <w:top w:val="single" w:color="1F3864" w:sz="4"/>
          <w:left w:val="single" w:color="1F3864" w:sz="16"/>
          <w:bottom w:val="single" w:color="1F3864" w:sz="4"/>
          <w:right w:val="single" w:color="1F3864" w:sz="4"/>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1F3864"/>
              </w:rPr>
              <w:t xml:space="preserve">In Plain English</w:t>
            </w:r>
          </w:p>
          <w:p>
            <w:pPr>
              <w:spacing w:after="0" w:line="270"/>
            </w:pPr>
            <w:r>
              <w:t xml:space="preserve">Not every dollar of a storm's total damage is relevant to this specific layer — only the portion that falls between $50 million and $100 million matters, because that is what this layer covers. This step takes each trended loss and works out how much of it actually falls into the layer being priced, after which we also cap the total for the year at $100 million (the annual aggregate limit), reflecting the one reinstatement available.</w:t>
            </w:r>
          </w:p>
        </w:tc>
      </w:tr>
    </w:tbl>
    <w:p>
      <w:pPr>
        <w:pStyle w:val="Heading2"/>
        <w:spacing w:after="120" w:before="280"/>
      </w:pPr>
      <w:r>
        <w:t xml:space="preserve">4.1 The formula</w:t>
      </w:r>
    </w:p>
    <w:tbl>
      <w:tblPr>
        <w:tblW w:type="dxa" w:w="9360"/>
        <w:tblBorders>
          <w:top w:val="single" w:color="444444" w:sz="4"/>
          <w:left w:val="single" w:color="444444" w:sz="16"/>
          <w:bottom w:val="single" w:color="444444" w:sz="4"/>
          <w:right w:val="single" w:color="444444" w:sz="4"/>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60"/>
            </w:pPr>
            <w:r>
              <w:rPr>
                <w:b/>
                <w:bCs/>
                <w:color w:val="444444"/>
              </w:rPr>
              <w:t xml:space="preserve">Formula</w:t>
            </w:r>
          </w:p>
          <w:p>
            <w:pPr>
              <w:spacing w:after="0" w:line="270"/>
            </w:pPr>
            <w:r>
              <w:t xml:space="preserve">Loss to this layer (per event) = the smaller of:
  (a) the trended loss minus the attachment point, if positive, and
  (b) the limit
then the sum across all events in a year is capped at the annual aggregate limit ($100,000,000).</w:t>
            </w:r>
          </w:p>
        </w:tc>
      </w:tr>
    </w:tbl>
    <w:p>
      <w:pPr>
        <w:pStyle w:val="Heading2"/>
        <w:spacing w:after="120" w:before="280"/>
      </w:pPr>
      <w:r>
        <w:t xml:space="preserve">4.2 Results by year</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1100"/>
        <w:gridCol w:w="2000"/>
        <w:gridCol w:w="2860"/>
        <w:gridCol w:w="3400"/>
      </w:tblGrid>
      <w:tr>
        <w:trPr>
          <w:tblHeader/>
        </w:trPr>
        <w:tc>
          <w:tcPr>
            <w:tcW w:type="dxa" w:w="1100"/>
            <w:shd w:fill="1F3864" w:val="clear"/>
            <w:tcMar>
              <w:top w:type="dxa" w:w="90"/>
              <w:left w:type="dxa" w:w="120"/>
              <w:bottom w:type="dxa" w:w="90"/>
              <w:right w:type="dxa" w:w="120"/>
            </w:tcMar>
            <w:vAlign w:val="center"/>
          </w:tcPr>
          <w:p>
            <w:pPr>
              <w:jc w:val="left"/>
            </w:pPr>
            <w:r>
              <w:rPr>
                <w:b/>
                <w:bCs/>
                <w:color w:val="FFFFFF"/>
              </w:rPr>
              <w:t xml:space="preserve">Year</w:t>
            </w:r>
          </w:p>
        </w:tc>
        <w:tc>
          <w:tcPr>
            <w:tcW w:type="dxa" w:w="2000"/>
            <w:shd w:fill="1F3864" w:val="clear"/>
            <w:tcMar>
              <w:top w:type="dxa" w:w="90"/>
              <w:left w:type="dxa" w:w="120"/>
              <w:bottom w:type="dxa" w:w="90"/>
              <w:right w:type="dxa" w:w="120"/>
            </w:tcMar>
            <w:vAlign w:val="center"/>
          </w:tcPr>
          <w:p>
            <w:pPr>
              <w:jc w:val="right"/>
            </w:pPr>
            <w:r>
              <w:rPr>
                <w:b/>
                <w:bCs/>
                <w:color w:val="FFFFFF"/>
              </w:rPr>
              <w:t xml:space="preserve">Event</w:t>
            </w:r>
          </w:p>
        </w:tc>
        <w:tc>
          <w:tcPr>
            <w:tcW w:type="dxa" w:w="2860"/>
            <w:shd w:fill="1F3864" w:val="clear"/>
            <w:tcMar>
              <w:top w:type="dxa" w:w="90"/>
              <w:left w:type="dxa" w:w="120"/>
              <w:bottom w:type="dxa" w:w="90"/>
              <w:right w:type="dxa" w:w="120"/>
            </w:tcMar>
            <w:vAlign w:val="center"/>
          </w:tcPr>
          <w:p>
            <w:pPr>
              <w:jc w:val="right"/>
            </w:pPr>
            <w:r>
              <w:rPr>
                <w:b/>
                <w:bCs/>
                <w:color w:val="FFFFFF"/>
              </w:rPr>
              <w:t xml:space="preserve">Trended Loss</w:t>
            </w:r>
          </w:p>
        </w:tc>
        <w:tc>
          <w:tcPr>
            <w:tcW w:type="dxa" w:w="3400"/>
            <w:shd w:fill="1F3864" w:val="clear"/>
            <w:tcMar>
              <w:top w:type="dxa" w:w="90"/>
              <w:left w:type="dxa" w:w="120"/>
              <w:bottom w:type="dxa" w:w="90"/>
              <w:right w:type="dxa" w:w="120"/>
            </w:tcMar>
            <w:vAlign w:val="center"/>
          </w:tcPr>
          <w:p>
            <w:pPr>
              <w:jc w:val="right"/>
            </w:pPr>
            <w:r>
              <w:rPr>
                <w:b/>
                <w:bCs/>
                <w:color w:val="FFFFFF"/>
              </w:rPr>
              <w:t xml:space="preserve">Loss to This Layer</w:t>
            </w:r>
          </w:p>
        </w:tc>
      </w:tr>
      <w:tr>
        <w:tc>
          <w:tcPr>
            <w:tcW w:type="dxa" w:w="1100"/>
            <w:shd w:fill="FFFFFF" w:val="clear"/>
            <w:tcMar>
              <w:top w:type="dxa" w:w="80"/>
              <w:left w:type="dxa" w:w="120"/>
              <w:bottom w:type="dxa" w:w="80"/>
              <w:right w:type="dxa" w:w="120"/>
            </w:tcMar>
            <w:vAlign w:val="center"/>
          </w:tcPr>
          <w:p>
            <w:pPr>
              <w:jc w:val="left"/>
            </w:pPr>
            <w:r>
              <w:t xml:space="preserve">2017</w:t>
            </w:r>
          </w:p>
        </w:tc>
        <w:tc>
          <w:tcPr>
            <w:tcW w:type="dxa" w:w="2000"/>
            <w:shd w:fill="FFFFFF" w:val="clear"/>
            <w:tcMar>
              <w:top w:type="dxa" w:w="80"/>
              <w:left w:type="dxa" w:w="120"/>
              <w:bottom w:type="dxa" w:w="80"/>
              <w:right w:type="dxa" w:w="120"/>
            </w:tcMar>
            <w:vAlign w:val="center"/>
          </w:tcPr>
          <w:p>
            <w:pPr>
              <w:jc w:val="right"/>
            </w:pPr>
            <w:r>
              <w:t xml:space="preserve">Hurricane A</w:t>
            </w:r>
          </w:p>
        </w:tc>
        <w:tc>
          <w:tcPr>
            <w:tcW w:type="dxa" w:w="2860"/>
            <w:shd w:fill="FFFFFF" w:val="clear"/>
            <w:tcMar>
              <w:top w:type="dxa" w:w="80"/>
              <w:left w:type="dxa" w:w="120"/>
              <w:bottom w:type="dxa" w:w="80"/>
              <w:right w:type="dxa" w:w="120"/>
            </w:tcMar>
            <w:vAlign w:val="center"/>
          </w:tcPr>
          <w:p>
            <w:pPr>
              <w:jc w:val="right"/>
            </w:pPr>
            <w:r>
              <w:t xml:space="preserve">$35,816,954</w:t>
            </w:r>
          </w:p>
        </w:tc>
        <w:tc>
          <w:tcPr>
            <w:tcW w:type="dxa" w:w="3400"/>
            <w:shd w:fill="FFFFFF" w:val="clear"/>
            <w:tcMar>
              <w:top w:type="dxa" w:w="80"/>
              <w:left w:type="dxa" w:w="120"/>
              <w:bottom w:type="dxa" w:w="80"/>
              <w:right w:type="dxa" w:w="120"/>
            </w:tcMar>
            <w:vAlign w:val="center"/>
          </w:tcPr>
          <w:p>
            <w:pPr>
              <w:jc w:val="right"/>
            </w:pPr>
            <w:r>
              <w:t xml:space="preserve">$0 (below attachment)</w:t>
            </w:r>
          </w:p>
        </w:tc>
      </w:tr>
      <w:tr>
        <w:tc>
          <w:tcPr>
            <w:tcW w:type="dxa" w:w="1100"/>
            <w:shd w:fill="F2F2F2" w:val="clear"/>
            <w:tcMar>
              <w:top w:type="dxa" w:w="80"/>
              <w:left w:type="dxa" w:w="120"/>
              <w:bottom w:type="dxa" w:w="80"/>
              <w:right w:type="dxa" w:w="120"/>
            </w:tcMar>
            <w:vAlign w:val="center"/>
          </w:tcPr>
          <w:p>
            <w:pPr>
              <w:jc w:val="left"/>
            </w:pPr>
            <w:r>
              <w:t xml:space="preserve">2019</w:t>
            </w:r>
          </w:p>
        </w:tc>
        <w:tc>
          <w:tcPr>
            <w:tcW w:type="dxa" w:w="2000"/>
            <w:shd w:fill="F2F2F2" w:val="clear"/>
            <w:tcMar>
              <w:top w:type="dxa" w:w="80"/>
              <w:left w:type="dxa" w:w="120"/>
              <w:bottom w:type="dxa" w:w="80"/>
              <w:right w:type="dxa" w:w="120"/>
            </w:tcMar>
            <w:vAlign w:val="center"/>
          </w:tcPr>
          <w:p>
            <w:pPr>
              <w:jc w:val="right"/>
            </w:pPr>
            <w:r>
              <w:t xml:space="preserve">Windstorm B</w:t>
            </w:r>
          </w:p>
        </w:tc>
        <w:tc>
          <w:tcPr>
            <w:tcW w:type="dxa" w:w="2860"/>
            <w:shd w:fill="F2F2F2" w:val="clear"/>
            <w:tcMar>
              <w:top w:type="dxa" w:w="80"/>
              <w:left w:type="dxa" w:w="120"/>
              <w:bottom w:type="dxa" w:w="80"/>
              <w:right w:type="dxa" w:w="120"/>
            </w:tcMar>
            <w:vAlign w:val="center"/>
          </w:tcPr>
          <w:p>
            <w:pPr>
              <w:jc w:val="right"/>
            </w:pPr>
            <w:r>
              <w:t xml:space="preserve">$103,600,125</w:t>
            </w:r>
          </w:p>
        </w:tc>
        <w:tc>
          <w:tcPr>
            <w:tcW w:type="dxa" w:w="3400"/>
            <w:shd w:fill="F2F2F2" w:val="clear"/>
            <w:tcMar>
              <w:top w:type="dxa" w:w="80"/>
              <w:left w:type="dxa" w:w="120"/>
              <w:bottom w:type="dxa" w:w="80"/>
              <w:right w:type="dxa" w:w="120"/>
            </w:tcMar>
            <w:vAlign w:val="center"/>
          </w:tcPr>
          <w:p>
            <w:pPr>
              <w:jc w:val="right"/>
            </w:pPr>
            <w:r>
              <w:t xml:space="preserve">$50,000,000 (full limit)</w:t>
            </w:r>
          </w:p>
        </w:tc>
      </w:tr>
      <w:tr>
        <w:tc>
          <w:tcPr>
            <w:tcW w:type="dxa" w:w="1100"/>
            <w:shd w:fill="FFFFFF" w:val="clear"/>
            <w:tcMar>
              <w:top w:type="dxa" w:w="80"/>
              <w:left w:type="dxa" w:w="120"/>
              <w:bottom w:type="dxa" w:w="80"/>
              <w:right w:type="dxa" w:w="120"/>
            </w:tcMar>
            <w:vAlign w:val="center"/>
          </w:tcPr>
          <w:p>
            <w:pPr>
              <w:jc w:val="left"/>
            </w:pPr>
            <w:r>
              <w:t xml:space="preserve">2021</w:t>
            </w:r>
          </w:p>
        </w:tc>
        <w:tc>
          <w:tcPr>
            <w:tcW w:type="dxa" w:w="2000"/>
            <w:shd w:fill="FFFFFF" w:val="clear"/>
            <w:tcMar>
              <w:top w:type="dxa" w:w="80"/>
              <w:left w:type="dxa" w:w="120"/>
              <w:bottom w:type="dxa" w:w="80"/>
              <w:right w:type="dxa" w:w="120"/>
            </w:tcMar>
            <w:vAlign w:val="center"/>
          </w:tcPr>
          <w:p>
            <w:pPr>
              <w:jc w:val="right"/>
            </w:pPr>
            <w:r>
              <w:t xml:space="preserve">Hurricane C</w:t>
            </w:r>
          </w:p>
        </w:tc>
        <w:tc>
          <w:tcPr>
            <w:tcW w:type="dxa" w:w="2860"/>
            <w:shd w:fill="FFFFFF" w:val="clear"/>
            <w:tcMar>
              <w:top w:type="dxa" w:w="80"/>
              <w:left w:type="dxa" w:w="120"/>
              <w:bottom w:type="dxa" w:w="80"/>
              <w:right w:type="dxa" w:w="120"/>
            </w:tcMar>
            <w:vAlign w:val="center"/>
          </w:tcPr>
          <w:p>
            <w:pPr>
              <w:jc w:val="right"/>
            </w:pPr>
            <w:r>
              <w:t xml:space="preserve">$156,037,102</w:t>
            </w:r>
          </w:p>
        </w:tc>
        <w:tc>
          <w:tcPr>
            <w:tcW w:type="dxa" w:w="3400"/>
            <w:shd w:fill="FFFFFF" w:val="clear"/>
            <w:tcMar>
              <w:top w:type="dxa" w:w="80"/>
              <w:left w:type="dxa" w:w="120"/>
              <w:bottom w:type="dxa" w:w="80"/>
              <w:right w:type="dxa" w:w="120"/>
            </w:tcMar>
            <w:vAlign w:val="center"/>
          </w:tcPr>
          <w:p>
            <w:pPr>
              <w:jc w:val="right"/>
            </w:pPr>
            <w:r>
              <w:t xml:space="preserve">$50,000,000 (full limit)</w:t>
            </w:r>
          </w:p>
        </w:tc>
      </w:tr>
      <w:tr>
        <w:tc>
          <w:tcPr>
            <w:tcW w:type="dxa" w:w="1100"/>
            <w:shd w:fill="F2F2F2" w:val="clear"/>
            <w:tcMar>
              <w:top w:type="dxa" w:w="80"/>
              <w:left w:type="dxa" w:w="120"/>
              <w:bottom w:type="dxa" w:w="80"/>
              <w:right w:type="dxa" w:w="120"/>
            </w:tcMar>
            <w:vAlign w:val="center"/>
          </w:tcPr>
          <w:p>
            <w:pPr>
              <w:jc w:val="left"/>
            </w:pPr>
            <w:r>
              <w:t xml:space="preserve">2023</w:t>
            </w:r>
          </w:p>
        </w:tc>
        <w:tc>
          <w:tcPr>
            <w:tcW w:type="dxa" w:w="2000"/>
            <w:shd w:fill="F2F2F2" w:val="clear"/>
            <w:tcMar>
              <w:top w:type="dxa" w:w="80"/>
              <w:left w:type="dxa" w:w="120"/>
              <w:bottom w:type="dxa" w:w="80"/>
              <w:right w:type="dxa" w:w="120"/>
            </w:tcMar>
            <w:vAlign w:val="center"/>
          </w:tcPr>
          <w:p>
            <w:pPr>
              <w:jc w:val="right"/>
            </w:pPr>
            <w:r>
              <w:t xml:space="preserve">Windstorm D</w:t>
            </w:r>
          </w:p>
        </w:tc>
        <w:tc>
          <w:tcPr>
            <w:tcW w:type="dxa" w:w="2860"/>
            <w:shd w:fill="F2F2F2" w:val="clear"/>
            <w:tcMar>
              <w:top w:type="dxa" w:w="80"/>
              <w:left w:type="dxa" w:w="120"/>
              <w:bottom w:type="dxa" w:w="80"/>
              <w:right w:type="dxa" w:w="120"/>
            </w:tcMar>
            <w:vAlign w:val="center"/>
          </w:tcPr>
          <w:p>
            <w:pPr>
              <w:jc w:val="right"/>
            </w:pPr>
            <w:r>
              <w:t xml:space="preserve">$18,937,154</w:t>
            </w:r>
          </w:p>
        </w:tc>
        <w:tc>
          <w:tcPr>
            <w:tcW w:type="dxa" w:w="3400"/>
            <w:shd w:fill="F2F2F2" w:val="clear"/>
            <w:tcMar>
              <w:top w:type="dxa" w:w="80"/>
              <w:left w:type="dxa" w:w="120"/>
              <w:bottom w:type="dxa" w:w="80"/>
              <w:right w:type="dxa" w:w="120"/>
            </w:tcMar>
            <w:vAlign w:val="center"/>
          </w:tcPr>
          <w:p>
            <w:pPr>
              <w:jc w:val="right"/>
            </w:pPr>
            <w:r>
              <w:t xml:space="preserve">$0 (below attachment)</w:t>
            </w:r>
          </w:p>
        </w:tc>
      </w:tr>
      <w:tr>
        <w:tc>
          <w:tcPr>
            <w:tcW w:type="dxa" w:w="1100"/>
            <w:shd w:fill="FFFFFF" w:val="clear"/>
            <w:tcMar>
              <w:top w:type="dxa" w:w="80"/>
              <w:left w:type="dxa" w:w="120"/>
              <w:bottom w:type="dxa" w:w="80"/>
              <w:right w:type="dxa" w:w="120"/>
            </w:tcMar>
            <w:vAlign w:val="center"/>
          </w:tcPr>
          <w:p>
            <w:pPr>
              <w:jc w:val="left"/>
            </w:pPr>
            <w:r>
              <w:t xml:space="preserve">2025</w:t>
            </w:r>
          </w:p>
        </w:tc>
        <w:tc>
          <w:tcPr>
            <w:tcW w:type="dxa" w:w="2000"/>
            <w:shd w:fill="FFFFFF" w:val="clear"/>
            <w:tcMar>
              <w:top w:type="dxa" w:w="80"/>
              <w:left w:type="dxa" w:w="120"/>
              <w:bottom w:type="dxa" w:w="80"/>
              <w:right w:type="dxa" w:w="120"/>
            </w:tcMar>
            <w:vAlign w:val="center"/>
          </w:tcPr>
          <w:p>
            <w:pPr>
              <w:jc w:val="right"/>
            </w:pPr>
            <w:r>
              <w:t xml:space="preserve">Hurricane E</w:t>
            </w:r>
          </w:p>
        </w:tc>
        <w:tc>
          <w:tcPr>
            <w:tcW w:type="dxa" w:w="2860"/>
            <w:shd w:fill="FFFFFF" w:val="clear"/>
            <w:tcMar>
              <w:top w:type="dxa" w:w="80"/>
              <w:left w:type="dxa" w:w="120"/>
              <w:bottom w:type="dxa" w:w="80"/>
              <w:right w:type="dxa" w:w="120"/>
            </w:tcMar>
            <w:vAlign w:val="center"/>
          </w:tcPr>
          <w:p>
            <w:pPr>
              <w:jc w:val="right"/>
            </w:pPr>
            <w:r>
              <w:t xml:space="preserve">$87,640,800</w:t>
            </w:r>
          </w:p>
        </w:tc>
        <w:tc>
          <w:tcPr>
            <w:tcW w:type="dxa" w:w="3400"/>
            <w:shd w:fill="FFFFFF" w:val="clear"/>
            <w:tcMar>
              <w:top w:type="dxa" w:w="80"/>
              <w:left w:type="dxa" w:w="120"/>
              <w:bottom w:type="dxa" w:w="80"/>
              <w:right w:type="dxa" w:w="120"/>
            </w:tcMar>
            <w:vAlign w:val="center"/>
          </w:tcPr>
          <w:p>
            <w:pPr>
              <w:jc w:val="right"/>
            </w:pPr>
            <w:r>
              <w:t xml:space="preserve">$37,640,800</w:t>
            </w:r>
          </w:p>
        </w:tc>
      </w:tr>
      <w:tr>
        <w:tc>
          <w:tcPr>
            <w:tcW w:type="dxa" w:w="1100"/>
            <w:shd w:fill="F2F2F2" w:val="clear"/>
            <w:tcMar>
              <w:top w:type="dxa" w:w="80"/>
              <w:left w:type="dxa" w:w="120"/>
              <w:bottom w:type="dxa" w:w="80"/>
              <w:right w:type="dxa" w:w="120"/>
            </w:tcMar>
            <w:vAlign w:val="center"/>
          </w:tcPr>
          <w:p>
            <w:pPr>
              <w:jc w:val="left"/>
            </w:pPr>
            <w:r>
              <w:t xml:space="preserve">2026</w:t>
            </w:r>
          </w:p>
        </w:tc>
        <w:tc>
          <w:tcPr>
            <w:tcW w:type="dxa" w:w="2000"/>
            <w:shd w:fill="F2F2F2" w:val="clear"/>
            <w:tcMar>
              <w:top w:type="dxa" w:w="80"/>
              <w:left w:type="dxa" w:w="120"/>
              <w:bottom w:type="dxa" w:w="80"/>
              <w:right w:type="dxa" w:w="120"/>
            </w:tcMar>
            <w:vAlign w:val="center"/>
          </w:tcPr>
          <w:p>
            <w:pPr>
              <w:jc w:val="right"/>
            </w:pPr>
            <w:r>
              <w:t xml:space="preserve">Windstorm F</w:t>
            </w:r>
          </w:p>
        </w:tc>
        <w:tc>
          <w:tcPr>
            <w:tcW w:type="dxa" w:w="2860"/>
            <w:shd w:fill="F2F2F2" w:val="clear"/>
            <w:tcMar>
              <w:top w:type="dxa" w:w="80"/>
              <w:left w:type="dxa" w:w="120"/>
              <w:bottom w:type="dxa" w:w="80"/>
              <w:right w:type="dxa" w:w="120"/>
            </w:tcMar>
            <w:vAlign w:val="center"/>
          </w:tcPr>
          <w:p>
            <w:pPr>
              <w:jc w:val="right"/>
            </w:pPr>
            <w:r>
              <w:t xml:space="preserve">$5,300,000</w:t>
            </w:r>
          </w:p>
        </w:tc>
        <w:tc>
          <w:tcPr>
            <w:tcW w:type="dxa" w:w="3400"/>
            <w:shd w:fill="F2F2F2" w:val="clear"/>
            <w:tcMar>
              <w:top w:type="dxa" w:w="80"/>
              <w:left w:type="dxa" w:w="120"/>
              <w:bottom w:type="dxa" w:w="80"/>
              <w:right w:type="dxa" w:w="120"/>
            </w:tcMar>
            <w:vAlign w:val="center"/>
          </w:tcPr>
          <w:p>
            <w:pPr>
              <w:jc w:val="right"/>
            </w:pPr>
            <w:r>
              <w:t xml:space="preserve">$0 (below attachment)</w:t>
            </w:r>
          </w:p>
        </w:tc>
      </w:tr>
    </w:tbl>
    <w:tbl>
      <w:tblPr>
        <w:tblW w:type="dxa" w:w="9360"/>
        <w:tblBorders>
          <w:top w:val="single" w:color="8A6D00" w:sz="4"/>
          <w:left w:val="single" w:color="8A6D00" w:sz="16"/>
          <w:bottom w:val="single" w:color="8A6D00" w:sz="4"/>
          <w:right w:val="single" w:color="8A6D00" w:sz="4"/>
          <w:insideH w:val="single" w:color="auto" w:sz="4"/>
          <w:insideV w:val="single" w:color="auto" w:sz="4"/>
        </w:tblBorders>
      </w:tblPr>
      <w:tblGrid>
        <w:gridCol w:w="9360"/>
      </w:tblGrid>
      <w:tr>
        <w:tc>
          <w:tcPr>
            <w:tcW w:type="dxa" w:w="9360"/>
            <w:shd w:fill="FDF2D0" w:val="clear"/>
            <w:tcMar>
              <w:top w:type="dxa" w:w="140"/>
              <w:left w:type="dxa" w:w="200"/>
              <w:bottom w:type="dxa" w:w="140"/>
              <w:right w:type="dxa" w:w="200"/>
            </w:tcMar>
          </w:tcPr>
          <w:p>
            <w:pPr>
              <w:spacing w:after="60"/>
            </w:pPr>
            <w:r>
              <w:rPr>
                <w:b/>
                <w:bCs/>
                <w:color w:val="8A6D00"/>
              </w:rPr>
              <w:t xml:space="preserve">In Plain English</w:t>
            </w:r>
          </w:p>
          <w:p>
            <w:pPr>
              <w:spacing w:after="0" w:line="270"/>
            </w:pPr>
            <w:r>
              <w:t xml:space="preserve">In ten years, three separate storms reached into this layer: one in 2019, one in 2021, and one in 2025. Two of the three (2019 and 2021) were large enough to exhaust the entire $50 million layer. This is the single most important fact behind the size of the price change in this review, and is discussed further in Section 9.</w:t>
            </w:r>
          </w:p>
        </w:tc>
      </w:tr>
    </w:tbl>
    <w:p>
      <w:pPr>
        <w:spacing w:after="160" w:line="276"/>
      </w:pPr>
      <w:r>
        <w:rPr>
          <w:i/>
          <w:iCs/>
          <w:color w:val="666666"/>
          <w:sz w:val="20"/>
          <w:szCs w:val="20"/>
        </w:rPr>
        <w:t xml:space="preserve">Governed tool used: apply_treaty_structure_to_losses()</w:t>
      </w:r>
    </w:p>
    <w:p>
      <w:r>
        <w:br w:type="page"/>
      </w:r>
    </w:p>
    <w:p>
      <w:pPr>
        <w:pStyle w:val="Heading1"/>
        <w:spacing w:after="160" w:before="360"/>
      </w:pPr>
      <w:r>
        <w:t xml:space="preserve">5. Step 3 of 8 — Burning Cost (What Actual Experience Suggests)</w:t>
      </w:r>
    </w:p>
    <w:tbl>
      <w:tblPr>
        <w:tblW w:type="dxa" w:w="9360"/>
        <w:tblBorders>
          <w:top w:val="single" w:color="1F3864" w:sz="4"/>
          <w:left w:val="single" w:color="1F3864" w:sz="16"/>
          <w:bottom w:val="single" w:color="1F3864" w:sz="4"/>
          <w:right w:val="single" w:color="1F3864" w:sz="4"/>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1F3864"/>
              </w:rPr>
              <w:t xml:space="preserve">In Plain English</w:t>
            </w:r>
          </w:p>
          <w:p>
            <w:pPr>
              <w:spacing w:after="0" w:line="270"/>
            </w:pPr>
            <w:r>
              <w:t xml:space="preserve">“Burning cost” is simply: for each year, how much did this layer actually pay out, divided by how much premium it collected that year? Averaged over many years, this tells us what share of premium has historically been “burned up” by claims to this specific layer. It is the most direct, least-modelled way of asking “based on what has actually happened, is the premium enough?”</w:t>
            </w:r>
          </w:p>
        </w:tc>
      </w:tr>
    </w:tbl>
    <w:p>
      <w:pPr>
        <w:pStyle w:val="Heading2"/>
        <w:spacing w:after="120" w:before="280"/>
      </w:pPr>
      <w:r>
        <w:t xml:space="preserve">5.1 The formula</w:t>
      </w:r>
    </w:p>
    <w:tbl>
      <w:tblPr>
        <w:tblW w:type="dxa" w:w="9360"/>
        <w:tblBorders>
          <w:top w:val="single" w:color="444444" w:sz="4"/>
          <w:left w:val="single" w:color="444444" w:sz="16"/>
          <w:bottom w:val="single" w:color="444444" w:sz="4"/>
          <w:right w:val="single" w:color="444444" w:sz="4"/>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60"/>
            </w:pPr>
            <w:r>
              <w:rPr>
                <w:b/>
                <w:bCs/>
                <w:color w:val="444444"/>
              </w:rPr>
              <w:t xml:space="preserve">Formula</w:t>
            </w:r>
          </w:p>
          <w:p>
            <w:pPr>
              <w:spacing w:after="0" w:line="270"/>
            </w:pPr>
            <w:r>
              <w:t xml:space="preserve">Burning cost ratio (per year) = loss to layer that year ÷ on-level premium that year
Premium-weighted average = (sum of all years' losses to layer) ÷ (sum of all years' on-level premium)</w:t>
            </w:r>
          </w:p>
        </w:tc>
      </w:tr>
    </w:tbl>
    <w:p>
      <w:pPr>
        <w:pStyle w:val="Heading2"/>
        <w:spacing w:after="120" w:before="280"/>
      </w:pPr>
      <w:r>
        <w:t xml:space="preserve">5.2 Results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1000"/>
        <w:gridCol w:w="2650"/>
        <w:gridCol w:w="2850"/>
        <w:gridCol w:w="2860"/>
      </w:tblGrid>
      <w:tr>
        <w:trPr>
          <w:tblHeader/>
        </w:trPr>
        <w:tc>
          <w:tcPr>
            <w:tcW w:type="dxa" w:w="1000"/>
            <w:shd w:fill="1F3864" w:val="clear"/>
            <w:tcMar>
              <w:top w:type="dxa" w:w="90"/>
              <w:left w:type="dxa" w:w="120"/>
              <w:bottom w:type="dxa" w:w="90"/>
              <w:right w:type="dxa" w:w="120"/>
            </w:tcMar>
            <w:vAlign w:val="center"/>
          </w:tcPr>
          <w:p>
            <w:pPr>
              <w:jc w:val="left"/>
            </w:pPr>
            <w:r>
              <w:rPr>
                <w:b/>
                <w:bCs/>
                <w:color w:val="FFFFFF"/>
              </w:rPr>
              <w:t xml:space="preserve">Year</w:t>
            </w:r>
          </w:p>
        </w:tc>
        <w:tc>
          <w:tcPr>
            <w:tcW w:type="dxa" w:w="2650"/>
            <w:shd w:fill="1F3864" w:val="clear"/>
            <w:tcMar>
              <w:top w:type="dxa" w:w="90"/>
              <w:left w:type="dxa" w:w="120"/>
              <w:bottom w:type="dxa" w:w="90"/>
              <w:right w:type="dxa" w:w="120"/>
            </w:tcMar>
            <w:vAlign w:val="center"/>
          </w:tcPr>
          <w:p>
            <w:pPr>
              <w:jc w:val="right"/>
            </w:pPr>
            <w:r>
              <w:rPr>
                <w:b/>
                <w:bCs/>
                <w:color w:val="FFFFFF"/>
              </w:rPr>
              <w:t xml:space="preserve">Loss to Layer</w:t>
            </w:r>
          </w:p>
        </w:tc>
        <w:tc>
          <w:tcPr>
            <w:tcW w:type="dxa" w:w="2850"/>
            <w:shd w:fill="1F3864" w:val="clear"/>
            <w:tcMar>
              <w:top w:type="dxa" w:w="90"/>
              <w:left w:type="dxa" w:w="120"/>
              <w:bottom w:type="dxa" w:w="90"/>
              <w:right w:type="dxa" w:w="120"/>
            </w:tcMar>
            <w:vAlign w:val="center"/>
          </w:tcPr>
          <w:p>
            <w:pPr>
              <w:jc w:val="right"/>
            </w:pPr>
            <w:r>
              <w:rPr>
                <w:b/>
                <w:bCs/>
                <w:color w:val="FFFFFF"/>
              </w:rPr>
              <w:t xml:space="preserve">On-Level Premium</w:t>
            </w:r>
          </w:p>
        </w:tc>
        <w:tc>
          <w:tcPr>
            <w:tcW w:type="dxa" w:w="2860"/>
            <w:shd w:fill="1F3864" w:val="clear"/>
            <w:tcMar>
              <w:top w:type="dxa" w:w="90"/>
              <w:left w:type="dxa" w:w="120"/>
              <w:bottom w:type="dxa" w:w="90"/>
              <w:right w:type="dxa" w:w="120"/>
            </w:tcMar>
            <w:vAlign w:val="center"/>
          </w:tcPr>
          <w:p>
            <w:pPr>
              <w:jc w:val="right"/>
            </w:pPr>
            <w:r>
              <w:rPr>
                <w:b/>
                <w:bCs/>
                <w:color w:val="FFFFFF"/>
              </w:rPr>
              <w:t xml:space="preserve">Burning Cost Ratio</w:t>
            </w:r>
          </w:p>
        </w:tc>
      </w:tr>
      <w:tr>
        <w:tc>
          <w:tcPr>
            <w:tcW w:type="dxa" w:w="1000"/>
            <w:shd w:fill="FFFFFF" w:val="clear"/>
            <w:tcMar>
              <w:top w:type="dxa" w:w="80"/>
              <w:left w:type="dxa" w:w="120"/>
              <w:bottom w:type="dxa" w:w="80"/>
              <w:right w:type="dxa" w:w="120"/>
            </w:tcMar>
            <w:vAlign w:val="center"/>
          </w:tcPr>
          <w:p>
            <w:pPr>
              <w:jc w:val="left"/>
            </w:pPr>
            <w:r>
              <w:t xml:space="preserve">2017</w:t>
            </w:r>
          </w:p>
        </w:tc>
        <w:tc>
          <w:tcPr>
            <w:tcW w:type="dxa" w:w="2650"/>
            <w:shd w:fill="FFFFFF" w:val="clear"/>
            <w:tcMar>
              <w:top w:type="dxa" w:w="80"/>
              <w:left w:type="dxa" w:w="120"/>
              <w:bottom w:type="dxa" w:w="80"/>
              <w:right w:type="dxa" w:w="120"/>
            </w:tcMar>
            <w:vAlign w:val="center"/>
          </w:tcPr>
          <w:p>
            <w:pPr>
              <w:jc w:val="right"/>
            </w:pPr>
            <w:r>
              <w:t xml:space="preserve">$0</w:t>
            </w:r>
          </w:p>
        </w:tc>
        <w:tc>
          <w:tcPr>
            <w:tcW w:type="dxa" w:w="2850"/>
            <w:shd w:fill="FFFFFF" w:val="clear"/>
            <w:tcMar>
              <w:top w:type="dxa" w:w="80"/>
              <w:left w:type="dxa" w:w="120"/>
              <w:bottom w:type="dxa" w:w="80"/>
              <w:right w:type="dxa" w:w="120"/>
            </w:tcMar>
            <w:vAlign w:val="center"/>
          </w:tcPr>
          <w:p>
            <w:pPr>
              <w:jc w:val="right"/>
            </w:pPr>
            <w:r>
              <w:t xml:space="preserve">$8,890,244</w:t>
            </w:r>
          </w:p>
        </w:tc>
        <w:tc>
          <w:tcPr>
            <w:tcW w:type="dxa" w:w="2860"/>
            <w:shd w:fill="FFFFFF" w:val="clear"/>
            <w:tcMar>
              <w:top w:type="dxa" w:w="80"/>
              <w:left w:type="dxa" w:w="120"/>
              <w:bottom w:type="dxa" w:w="80"/>
              <w:right w:type="dxa" w:w="120"/>
            </w:tcMar>
            <w:vAlign w:val="center"/>
          </w:tcPr>
          <w:p>
            <w:pPr>
              <w:jc w:val="right"/>
            </w:pPr>
            <w:r>
              <w:t xml:space="preserve">0%</w:t>
            </w:r>
          </w:p>
        </w:tc>
      </w:tr>
      <w:tr>
        <w:tc>
          <w:tcPr>
            <w:tcW w:type="dxa" w:w="1000"/>
            <w:shd w:fill="F2F2F2" w:val="clear"/>
            <w:tcMar>
              <w:top w:type="dxa" w:w="80"/>
              <w:left w:type="dxa" w:w="120"/>
              <w:bottom w:type="dxa" w:w="80"/>
              <w:right w:type="dxa" w:w="120"/>
            </w:tcMar>
            <w:vAlign w:val="center"/>
          </w:tcPr>
          <w:p>
            <w:pPr>
              <w:jc w:val="left"/>
            </w:pPr>
            <w:r>
              <w:t xml:space="preserve">2018</w:t>
            </w:r>
          </w:p>
        </w:tc>
        <w:tc>
          <w:tcPr>
            <w:tcW w:type="dxa" w:w="2650"/>
            <w:shd w:fill="F2F2F2" w:val="clear"/>
            <w:tcMar>
              <w:top w:type="dxa" w:w="80"/>
              <w:left w:type="dxa" w:w="120"/>
              <w:bottom w:type="dxa" w:w="80"/>
              <w:right w:type="dxa" w:w="120"/>
            </w:tcMar>
            <w:vAlign w:val="center"/>
          </w:tcPr>
          <w:p>
            <w:pPr>
              <w:jc w:val="right"/>
            </w:pPr>
            <w:r>
              <w:t xml:space="preserve">$0</w:t>
            </w:r>
          </w:p>
        </w:tc>
        <w:tc>
          <w:tcPr>
            <w:tcW w:type="dxa" w:w="2850"/>
            <w:shd w:fill="F2F2F2" w:val="clear"/>
            <w:tcMar>
              <w:top w:type="dxa" w:w="80"/>
              <w:left w:type="dxa" w:w="120"/>
              <w:bottom w:type="dxa" w:w="80"/>
              <w:right w:type="dxa" w:w="120"/>
            </w:tcMar>
            <w:vAlign w:val="center"/>
          </w:tcPr>
          <w:p>
            <w:pPr>
              <w:jc w:val="right"/>
            </w:pPr>
            <w:r>
              <w:t xml:space="preserve">$8,894,118</w:t>
            </w:r>
          </w:p>
        </w:tc>
        <w:tc>
          <w:tcPr>
            <w:tcW w:type="dxa" w:w="2860"/>
            <w:shd w:fill="F2F2F2" w:val="clear"/>
            <w:tcMar>
              <w:top w:type="dxa" w:w="80"/>
              <w:left w:type="dxa" w:w="120"/>
              <w:bottom w:type="dxa" w:w="80"/>
              <w:right w:type="dxa" w:w="120"/>
            </w:tcMar>
            <w:vAlign w:val="center"/>
          </w:tcPr>
          <w:p>
            <w:pPr>
              <w:jc w:val="right"/>
            </w:pPr>
            <w:r>
              <w:t xml:space="preserve">0%</w:t>
            </w:r>
          </w:p>
        </w:tc>
      </w:tr>
      <w:tr>
        <w:tc>
          <w:tcPr>
            <w:tcW w:type="dxa" w:w="1000"/>
            <w:shd w:fill="FFFFFF" w:val="clear"/>
            <w:tcMar>
              <w:top w:type="dxa" w:w="80"/>
              <w:left w:type="dxa" w:w="120"/>
              <w:bottom w:type="dxa" w:w="80"/>
              <w:right w:type="dxa" w:w="120"/>
            </w:tcMar>
            <w:vAlign w:val="center"/>
          </w:tcPr>
          <w:p>
            <w:pPr>
              <w:jc w:val="left"/>
            </w:pPr>
            <w:r>
              <w:t xml:space="preserve">2019</w:t>
            </w:r>
          </w:p>
        </w:tc>
        <w:tc>
          <w:tcPr>
            <w:tcW w:type="dxa" w:w="2650"/>
            <w:shd w:fill="FFFFFF" w:val="clear"/>
            <w:tcMar>
              <w:top w:type="dxa" w:w="80"/>
              <w:left w:type="dxa" w:w="120"/>
              <w:bottom w:type="dxa" w:w="80"/>
              <w:right w:type="dxa" w:w="120"/>
            </w:tcMar>
            <w:vAlign w:val="center"/>
          </w:tcPr>
          <w:p>
            <w:pPr>
              <w:jc w:val="right"/>
            </w:pPr>
            <w:r>
              <w:t xml:space="preserve">$50,000,000</w:t>
            </w:r>
          </w:p>
        </w:tc>
        <w:tc>
          <w:tcPr>
            <w:tcW w:type="dxa" w:w="2850"/>
            <w:shd w:fill="FFFFFF" w:val="clear"/>
            <w:tcMar>
              <w:top w:type="dxa" w:w="80"/>
              <w:left w:type="dxa" w:w="120"/>
              <w:bottom w:type="dxa" w:w="80"/>
              <w:right w:type="dxa" w:w="120"/>
            </w:tcMar>
            <w:vAlign w:val="center"/>
          </w:tcPr>
          <w:p>
            <w:pPr>
              <w:jc w:val="right"/>
            </w:pPr>
            <w:r>
              <w:t xml:space="preserve">$8,949,438</w:t>
            </w:r>
          </w:p>
        </w:tc>
        <w:tc>
          <w:tcPr>
            <w:tcW w:type="dxa" w:w="2860"/>
            <w:shd w:fill="FFFFFF" w:val="clear"/>
            <w:tcMar>
              <w:top w:type="dxa" w:w="80"/>
              <w:left w:type="dxa" w:w="120"/>
              <w:bottom w:type="dxa" w:w="80"/>
              <w:right w:type="dxa" w:w="120"/>
            </w:tcMar>
            <w:vAlign w:val="center"/>
          </w:tcPr>
          <w:p>
            <w:pPr>
              <w:jc w:val="right"/>
            </w:pPr>
            <w:r>
              <w:t xml:space="preserve">558.7%</w:t>
            </w:r>
          </w:p>
        </w:tc>
      </w:tr>
      <w:tr>
        <w:tc>
          <w:tcPr>
            <w:tcW w:type="dxa" w:w="1000"/>
            <w:shd w:fill="F2F2F2" w:val="clear"/>
            <w:tcMar>
              <w:top w:type="dxa" w:w="80"/>
              <w:left w:type="dxa" w:w="120"/>
              <w:bottom w:type="dxa" w:w="80"/>
              <w:right w:type="dxa" w:w="120"/>
            </w:tcMar>
            <w:vAlign w:val="center"/>
          </w:tcPr>
          <w:p>
            <w:pPr>
              <w:jc w:val="left"/>
            </w:pPr>
            <w:r>
              <w:t xml:space="preserve">2020</w:t>
            </w:r>
          </w:p>
        </w:tc>
        <w:tc>
          <w:tcPr>
            <w:tcW w:type="dxa" w:w="2650"/>
            <w:shd w:fill="F2F2F2" w:val="clear"/>
            <w:tcMar>
              <w:top w:type="dxa" w:w="80"/>
              <w:left w:type="dxa" w:w="120"/>
              <w:bottom w:type="dxa" w:w="80"/>
              <w:right w:type="dxa" w:w="120"/>
            </w:tcMar>
            <w:vAlign w:val="center"/>
          </w:tcPr>
          <w:p>
            <w:pPr>
              <w:jc w:val="right"/>
            </w:pPr>
            <w:r>
              <w:t xml:space="preserve">$0</w:t>
            </w:r>
          </w:p>
        </w:tc>
        <w:tc>
          <w:tcPr>
            <w:tcW w:type="dxa" w:w="2850"/>
            <w:shd w:fill="F2F2F2" w:val="clear"/>
            <w:tcMar>
              <w:top w:type="dxa" w:w="80"/>
              <w:left w:type="dxa" w:w="120"/>
              <w:bottom w:type="dxa" w:w="80"/>
              <w:right w:type="dxa" w:w="120"/>
            </w:tcMar>
            <w:vAlign w:val="center"/>
          </w:tcPr>
          <w:p>
            <w:pPr>
              <w:jc w:val="right"/>
            </w:pPr>
            <w:r>
              <w:t xml:space="preserve">$8,854,839</w:t>
            </w:r>
          </w:p>
        </w:tc>
        <w:tc>
          <w:tcPr>
            <w:tcW w:type="dxa" w:w="2860"/>
            <w:shd w:fill="F2F2F2" w:val="clear"/>
            <w:tcMar>
              <w:top w:type="dxa" w:w="80"/>
              <w:left w:type="dxa" w:w="120"/>
              <w:bottom w:type="dxa" w:w="80"/>
              <w:right w:type="dxa" w:w="120"/>
            </w:tcMar>
            <w:vAlign w:val="center"/>
          </w:tcPr>
          <w:p>
            <w:pPr>
              <w:jc w:val="right"/>
            </w:pPr>
            <w:r>
              <w:t xml:space="preserve">0%</w:t>
            </w:r>
          </w:p>
        </w:tc>
      </w:tr>
      <w:tr>
        <w:tc>
          <w:tcPr>
            <w:tcW w:type="dxa" w:w="1000"/>
            <w:shd w:fill="FFFFFF" w:val="clear"/>
            <w:tcMar>
              <w:top w:type="dxa" w:w="80"/>
              <w:left w:type="dxa" w:w="120"/>
              <w:bottom w:type="dxa" w:w="80"/>
              <w:right w:type="dxa" w:w="120"/>
            </w:tcMar>
            <w:vAlign w:val="center"/>
          </w:tcPr>
          <w:p>
            <w:pPr>
              <w:jc w:val="left"/>
            </w:pPr>
            <w:r>
              <w:t xml:space="preserve">2021</w:t>
            </w:r>
          </w:p>
        </w:tc>
        <w:tc>
          <w:tcPr>
            <w:tcW w:type="dxa" w:w="2650"/>
            <w:shd w:fill="FFFFFF" w:val="clear"/>
            <w:tcMar>
              <w:top w:type="dxa" w:w="80"/>
              <w:left w:type="dxa" w:w="120"/>
              <w:bottom w:type="dxa" w:w="80"/>
              <w:right w:type="dxa" w:w="120"/>
            </w:tcMar>
            <w:vAlign w:val="center"/>
          </w:tcPr>
          <w:p>
            <w:pPr>
              <w:jc w:val="right"/>
            </w:pPr>
            <w:r>
              <w:t xml:space="preserve">$50,000,000</w:t>
            </w:r>
          </w:p>
        </w:tc>
        <w:tc>
          <w:tcPr>
            <w:tcW w:type="dxa" w:w="2850"/>
            <w:shd w:fill="FFFFFF" w:val="clear"/>
            <w:tcMar>
              <w:top w:type="dxa" w:w="80"/>
              <w:left w:type="dxa" w:w="120"/>
              <w:bottom w:type="dxa" w:w="80"/>
              <w:right w:type="dxa" w:w="120"/>
            </w:tcMar>
            <w:vAlign w:val="center"/>
          </w:tcPr>
          <w:p>
            <w:pPr>
              <w:jc w:val="right"/>
            </w:pPr>
            <w:r>
              <w:t xml:space="preserve">$8,816,327</w:t>
            </w:r>
          </w:p>
        </w:tc>
        <w:tc>
          <w:tcPr>
            <w:tcW w:type="dxa" w:w="2860"/>
            <w:shd w:fill="FFFFFF" w:val="clear"/>
            <w:tcMar>
              <w:top w:type="dxa" w:w="80"/>
              <w:left w:type="dxa" w:w="120"/>
              <w:bottom w:type="dxa" w:w="80"/>
              <w:right w:type="dxa" w:w="120"/>
            </w:tcMar>
            <w:vAlign w:val="center"/>
          </w:tcPr>
          <w:p>
            <w:pPr>
              <w:jc w:val="right"/>
            </w:pPr>
            <w:r>
              <w:t xml:space="preserve">567.1%</w:t>
            </w:r>
          </w:p>
        </w:tc>
      </w:tr>
      <w:tr>
        <w:tc>
          <w:tcPr>
            <w:tcW w:type="dxa" w:w="1000"/>
            <w:shd w:fill="F2F2F2" w:val="clear"/>
            <w:tcMar>
              <w:top w:type="dxa" w:w="80"/>
              <w:left w:type="dxa" w:w="120"/>
              <w:bottom w:type="dxa" w:w="80"/>
              <w:right w:type="dxa" w:w="120"/>
            </w:tcMar>
            <w:vAlign w:val="center"/>
          </w:tcPr>
          <w:p>
            <w:pPr>
              <w:jc w:val="left"/>
            </w:pPr>
            <w:r>
              <w:t xml:space="preserve">2022</w:t>
            </w:r>
          </w:p>
        </w:tc>
        <w:tc>
          <w:tcPr>
            <w:tcW w:type="dxa" w:w="2650"/>
            <w:shd w:fill="F2F2F2" w:val="clear"/>
            <w:tcMar>
              <w:top w:type="dxa" w:w="80"/>
              <w:left w:type="dxa" w:w="120"/>
              <w:bottom w:type="dxa" w:w="80"/>
              <w:right w:type="dxa" w:w="120"/>
            </w:tcMar>
            <w:vAlign w:val="center"/>
          </w:tcPr>
          <w:p>
            <w:pPr>
              <w:jc w:val="right"/>
            </w:pPr>
            <w:r>
              <w:t xml:space="preserve">$0</w:t>
            </w:r>
          </w:p>
        </w:tc>
        <w:tc>
          <w:tcPr>
            <w:tcW w:type="dxa" w:w="2850"/>
            <w:shd w:fill="F2F2F2" w:val="clear"/>
            <w:tcMar>
              <w:top w:type="dxa" w:w="80"/>
              <w:left w:type="dxa" w:w="120"/>
              <w:bottom w:type="dxa" w:w="80"/>
              <w:right w:type="dxa" w:w="120"/>
            </w:tcMar>
            <w:vAlign w:val="center"/>
          </w:tcPr>
          <w:p>
            <w:pPr>
              <w:jc w:val="right"/>
            </w:pPr>
            <w:r>
              <w:t xml:space="preserve">$8,826,923</w:t>
            </w:r>
          </w:p>
        </w:tc>
        <w:tc>
          <w:tcPr>
            <w:tcW w:type="dxa" w:w="2860"/>
            <w:shd w:fill="F2F2F2" w:val="clear"/>
            <w:tcMar>
              <w:top w:type="dxa" w:w="80"/>
              <w:left w:type="dxa" w:w="120"/>
              <w:bottom w:type="dxa" w:w="80"/>
              <w:right w:type="dxa" w:w="120"/>
            </w:tcMar>
            <w:vAlign w:val="center"/>
          </w:tcPr>
          <w:p>
            <w:pPr>
              <w:jc w:val="right"/>
            </w:pPr>
            <w:r>
              <w:t xml:space="preserve">0%</w:t>
            </w:r>
          </w:p>
        </w:tc>
      </w:tr>
      <w:tr>
        <w:tc>
          <w:tcPr>
            <w:tcW w:type="dxa" w:w="1000"/>
            <w:shd w:fill="FFFFFF" w:val="clear"/>
            <w:tcMar>
              <w:top w:type="dxa" w:w="80"/>
              <w:left w:type="dxa" w:w="120"/>
              <w:bottom w:type="dxa" w:w="80"/>
              <w:right w:type="dxa" w:w="120"/>
            </w:tcMar>
            <w:vAlign w:val="center"/>
          </w:tcPr>
          <w:p>
            <w:pPr>
              <w:jc w:val="left"/>
            </w:pPr>
            <w:r>
              <w:t xml:space="preserve">2023</w:t>
            </w:r>
          </w:p>
        </w:tc>
        <w:tc>
          <w:tcPr>
            <w:tcW w:type="dxa" w:w="2650"/>
            <w:shd w:fill="FFFFFF" w:val="clear"/>
            <w:tcMar>
              <w:top w:type="dxa" w:w="80"/>
              <w:left w:type="dxa" w:w="120"/>
              <w:bottom w:type="dxa" w:w="80"/>
              <w:right w:type="dxa" w:w="120"/>
            </w:tcMar>
            <w:vAlign w:val="center"/>
          </w:tcPr>
          <w:p>
            <w:pPr>
              <w:jc w:val="right"/>
            </w:pPr>
            <w:r>
              <w:t xml:space="preserve">$0</w:t>
            </w:r>
          </w:p>
        </w:tc>
        <w:tc>
          <w:tcPr>
            <w:tcW w:type="dxa" w:w="2850"/>
            <w:shd w:fill="FFFFFF" w:val="clear"/>
            <w:tcMar>
              <w:top w:type="dxa" w:w="80"/>
              <w:left w:type="dxa" w:w="120"/>
              <w:bottom w:type="dxa" w:w="80"/>
              <w:right w:type="dxa" w:w="120"/>
            </w:tcMar>
            <w:vAlign w:val="center"/>
          </w:tcPr>
          <w:p>
            <w:pPr>
              <w:jc w:val="right"/>
            </w:pPr>
            <w:r>
              <w:t xml:space="preserve">$8,713,636</w:t>
            </w:r>
          </w:p>
        </w:tc>
        <w:tc>
          <w:tcPr>
            <w:tcW w:type="dxa" w:w="2860"/>
            <w:shd w:fill="FFFFFF" w:val="clear"/>
            <w:tcMar>
              <w:top w:type="dxa" w:w="80"/>
              <w:left w:type="dxa" w:w="120"/>
              <w:bottom w:type="dxa" w:w="80"/>
              <w:right w:type="dxa" w:w="120"/>
            </w:tcMar>
            <w:vAlign w:val="center"/>
          </w:tcPr>
          <w:p>
            <w:pPr>
              <w:jc w:val="right"/>
            </w:pPr>
            <w:r>
              <w:t xml:space="preserve">0%</w:t>
            </w:r>
          </w:p>
        </w:tc>
      </w:tr>
      <w:tr>
        <w:tc>
          <w:tcPr>
            <w:tcW w:type="dxa" w:w="1000"/>
            <w:shd w:fill="F2F2F2" w:val="clear"/>
            <w:tcMar>
              <w:top w:type="dxa" w:w="80"/>
              <w:left w:type="dxa" w:w="120"/>
              <w:bottom w:type="dxa" w:w="80"/>
              <w:right w:type="dxa" w:w="120"/>
            </w:tcMar>
            <w:vAlign w:val="center"/>
          </w:tcPr>
          <w:p>
            <w:pPr>
              <w:jc w:val="left"/>
            </w:pPr>
            <w:r>
              <w:t xml:space="preserve">2024</w:t>
            </w:r>
          </w:p>
        </w:tc>
        <w:tc>
          <w:tcPr>
            <w:tcW w:type="dxa" w:w="2650"/>
            <w:shd w:fill="F2F2F2" w:val="clear"/>
            <w:tcMar>
              <w:top w:type="dxa" w:w="80"/>
              <w:left w:type="dxa" w:w="120"/>
              <w:bottom w:type="dxa" w:w="80"/>
              <w:right w:type="dxa" w:w="120"/>
            </w:tcMar>
            <w:vAlign w:val="center"/>
          </w:tcPr>
          <w:p>
            <w:pPr>
              <w:jc w:val="right"/>
            </w:pPr>
            <w:r>
              <w:t xml:space="preserve">$0</w:t>
            </w:r>
          </w:p>
        </w:tc>
        <w:tc>
          <w:tcPr>
            <w:tcW w:type="dxa" w:w="2850"/>
            <w:shd w:fill="F2F2F2" w:val="clear"/>
            <w:tcMar>
              <w:top w:type="dxa" w:w="80"/>
              <w:left w:type="dxa" w:w="120"/>
              <w:bottom w:type="dxa" w:w="80"/>
              <w:right w:type="dxa" w:w="120"/>
            </w:tcMar>
            <w:vAlign w:val="center"/>
          </w:tcPr>
          <w:p>
            <w:pPr>
              <w:jc w:val="right"/>
            </w:pPr>
            <w:r>
              <w:t xml:space="preserve">$8,538,462</w:t>
            </w:r>
          </w:p>
        </w:tc>
        <w:tc>
          <w:tcPr>
            <w:tcW w:type="dxa" w:w="2860"/>
            <w:shd w:fill="F2F2F2" w:val="clear"/>
            <w:tcMar>
              <w:top w:type="dxa" w:w="80"/>
              <w:left w:type="dxa" w:w="120"/>
              <w:bottom w:type="dxa" w:w="80"/>
              <w:right w:type="dxa" w:w="120"/>
            </w:tcMar>
            <w:vAlign w:val="center"/>
          </w:tcPr>
          <w:p>
            <w:pPr>
              <w:jc w:val="right"/>
            </w:pPr>
            <w:r>
              <w:t xml:space="preserve">0%</w:t>
            </w:r>
          </w:p>
        </w:tc>
      </w:tr>
      <w:tr>
        <w:tc>
          <w:tcPr>
            <w:tcW w:type="dxa" w:w="1000"/>
            <w:shd w:fill="FFFFFF" w:val="clear"/>
            <w:tcMar>
              <w:top w:type="dxa" w:w="80"/>
              <w:left w:type="dxa" w:w="120"/>
              <w:bottom w:type="dxa" w:w="80"/>
              <w:right w:type="dxa" w:w="120"/>
            </w:tcMar>
            <w:vAlign w:val="center"/>
          </w:tcPr>
          <w:p>
            <w:pPr>
              <w:jc w:val="left"/>
            </w:pPr>
            <w:r>
              <w:t xml:space="preserve">2025</w:t>
            </w:r>
          </w:p>
        </w:tc>
        <w:tc>
          <w:tcPr>
            <w:tcW w:type="dxa" w:w="2650"/>
            <w:shd w:fill="FFFFFF" w:val="clear"/>
            <w:tcMar>
              <w:top w:type="dxa" w:w="80"/>
              <w:left w:type="dxa" w:w="120"/>
              <w:bottom w:type="dxa" w:w="80"/>
              <w:right w:type="dxa" w:w="120"/>
            </w:tcMar>
            <w:vAlign w:val="center"/>
          </w:tcPr>
          <w:p>
            <w:pPr>
              <w:jc w:val="right"/>
            </w:pPr>
            <w:r>
              <w:t xml:space="preserve">$37,640,800</w:t>
            </w:r>
          </w:p>
        </w:tc>
        <w:tc>
          <w:tcPr>
            <w:tcW w:type="dxa" w:w="2850"/>
            <w:shd w:fill="FFFFFF" w:val="clear"/>
            <w:tcMar>
              <w:top w:type="dxa" w:w="80"/>
              <w:left w:type="dxa" w:w="120"/>
              <w:bottom w:type="dxa" w:w="80"/>
              <w:right w:type="dxa" w:w="120"/>
            </w:tcMar>
            <w:vAlign w:val="center"/>
          </w:tcPr>
          <w:p>
            <w:pPr>
              <w:jc w:val="right"/>
            </w:pPr>
            <w:r>
              <w:t xml:space="preserve">$8,451,220</w:t>
            </w:r>
          </w:p>
        </w:tc>
        <w:tc>
          <w:tcPr>
            <w:tcW w:type="dxa" w:w="2860"/>
            <w:shd w:fill="FFFFFF" w:val="clear"/>
            <w:tcMar>
              <w:top w:type="dxa" w:w="80"/>
              <w:left w:type="dxa" w:w="120"/>
              <w:bottom w:type="dxa" w:w="80"/>
              <w:right w:type="dxa" w:w="120"/>
            </w:tcMar>
            <w:vAlign w:val="center"/>
          </w:tcPr>
          <w:p>
            <w:pPr>
              <w:jc w:val="right"/>
            </w:pPr>
            <w:r>
              <w:t xml:space="preserve">445.4%</w:t>
            </w:r>
          </w:p>
        </w:tc>
      </w:tr>
      <w:tr>
        <w:tc>
          <w:tcPr>
            <w:tcW w:type="dxa" w:w="1000"/>
            <w:shd w:fill="F2F2F2" w:val="clear"/>
            <w:tcMar>
              <w:top w:type="dxa" w:w="80"/>
              <w:left w:type="dxa" w:w="120"/>
              <w:bottom w:type="dxa" w:w="80"/>
              <w:right w:type="dxa" w:w="120"/>
            </w:tcMar>
            <w:vAlign w:val="center"/>
          </w:tcPr>
          <w:p>
            <w:pPr>
              <w:jc w:val="left"/>
            </w:pPr>
            <w:r>
              <w:t xml:space="preserve">2026</w:t>
            </w:r>
          </w:p>
        </w:tc>
        <w:tc>
          <w:tcPr>
            <w:tcW w:type="dxa" w:w="2650"/>
            <w:shd w:fill="F2F2F2" w:val="clear"/>
            <w:tcMar>
              <w:top w:type="dxa" w:w="80"/>
              <w:left w:type="dxa" w:w="120"/>
              <w:bottom w:type="dxa" w:w="80"/>
              <w:right w:type="dxa" w:w="120"/>
            </w:tcMar>
            <w:vAlign w:val="center"/>
          </w:tcPr>
          <w:p>
            <w:pPr>
              <w:jc w:val="right"/>
            </w:pPr>
            <w:r>
              <w:t xml:space="preserve">$0</w:t>
            </w:r>
          </w:p>
        </w:tc>
        <w:tc>
          <w:tcPr>
            <w:tcW w:type="dxa" w:w="2850"/>
            <w:shd w:fill="F2F2F2" w:val="clear"/>
            <w:tcMar>
              <w:top w:type="dxa" w:w="80"/>
              <w:left w:type="dxa" w:w="120"/>
              <w:bottom w:type="dxa" w:w="80"/>
              <w:right w:type="dxa" w:w="120"/>
            </w:tcMar>
            <w:vAlign w:val="center"/>
          </w:tcPr>
          <w:p>
            <w:pPr>
              <w:jc w:val="right"/>
            </w:pPr>
            <w:r>
              <w:t xml:space="preserve">$8,372,093</w:t>
            </w:r>
          </w:p>
        </w:tc>
        <w:tc>
          <w:tcPr>
            <w:tcW w:type="dxa" w:w="2860"/>
            <w:shd w:fill="F2F2F2" w:val="clear"/>
            <w:tcMar>
              <w:top w:type="dxa" w:w="80"/>
              <w:left w:type="dxa" w:w="120"/>
              <w:bottom w:type="dxa" w:w="80"/>
              <w:right w:type="dxa" w:w="120"/>
            </w:tcMar>
            <w:vAlign w:val="center"/>
          </w:tcPr>
          <w:p>
            <w:pPr>
              <w:jc w:val="right"/>
            </w:pPr>
            <w:r>
              <w:t xml:space="preserve">0%</w:t>
            </w:r>
          </w:p>
        </w:tc>
      </w:tr>
    </w:tbl>
    <w:p>
      <w:pPr>
        <w:spacing w:after="160" w:line="276"/>
      </w:pPr>
      <w:r>
        <w:rPr>
          <w:b/>
          <w:bCs/>
        </w:rPr>
        <w:t xml:space="preserve">Premium-weighted average burning cost ratio across the 10 years: 157.65%</w:t>
      </w:r>
    </w:p>
    <w:p>
      <w:pPr>
        <w:spacing w:after="160" w:line="276"/>
      </w:pPr>
      <w:r>
        <w:t xml:space="preserve">Simple (unweighted) average: 157.12%      Year-to-year volatility (standard deviation): 241.92%</w:t>
      </w:r>
    </w:p>
    <w:tbl>
      <w:tblPr>
        <w:tblW w:type="dxa" w:w="9360"/>
        <w:tblBorders>
          <w:top w:val="single" w:color="8A6D00" w:sz="4"/>
          <w:left w:val="single" w:color="8A6D00" w:sz="16"/>
          <w:bottom w:val="single" w:color="8A6D00" w:sz="4"/>
          <w:right w:val="single" w:color="8A6D00" w:sz="4"/>
          <w:insideH w:val="single" w:color="auto" w:sz="4"/>
          <w:insideV w:val="single" w:color="auto" w:sz="4"/>
        </w:tblBorders>
      </w:tblPr>
      <w:tblGrid>
        <w:gridCol w:w="9360"/>
      </w:tblGrid>
      <w:tr>
        <w:tc>
          <w:tcPr>
            <w:tcW w:type="dxa" w:w="9360"/>
            <w:shd w:fill="FDF2D0" w:val="clear"/>
            <w:tcMar>
              <w:top w:type="dxa" w:w="140"/>
              <w:left w:type="dxa" w:w="200"/>
              <w:bottom w:type="dxa" w:w="140"/>
              <w:right w:type="dxa" w:w="200"/>
            </w:tcMar>
          </w:tcPr>
          <w:p>
            <w:pPr>
              <w:spacing w:after="60"/>
            </w:pPr>
            <w:r>
              <w:rPr>
                <w:b/>
                <w:bCs/>
                <w:color w:val="8A6D00"/>
              </w:rPr>
              <w:t xml:space="preserve">In Plain English</w:t>
            </w:r>
          </w:p>
          <w:p>
            <w:pPr>
              <w:spacing w:after="0" w:line="270"/>
            </w:pPr>
            <w:r>
              <w:t xml:space="preserve">A burning cost ratio above 100% in a given year simply means the layer paid out more that year than it collected in premium — completely normal for a single year on a high, infrequent layer like this, since most years pay nothing and a small number of years pay a great deal. What matters is the average across many years: at 157.65%, this layer's own claims history — on its own, before any modelling — has cost about one and a half times what it has been charged in premium, on average, over the last ten years. Translated to a premium amount at today's exposure level, this points to an “experience indication” of roughly $13,198,605.</w:t>
            </w:r>
          </w:p>
        </w:tc>
      </w:tr>
    </w:tbl>
    <w:p>
      <w:pPr>
        <w:spacing w:after="160" w:line="276"/>
      </w:pPr>
      <w:r>
        <w:rPr>
          <w:i/>
          <w:iCs/>
          <w:color w:val="666666"/>
          <w:sz w:val="20"/>
          <w:szCs w:val="20"/>
        </w:rPr>
        <w:t xml:space="preserve">Governed tool used: calculate_burning_cost()</w:t>
      </w:r>
    </w:p>
    <w:p>
      <w:r>
        <w:br w:type="page"/>
      </w:r>
    </w:p>
    <w:p>
      <w:pPr>
        <w:pStyle w:val="Heading1"/>
        <w:spacing w:after="160" w:before="360"/>
      </w:pPr>
      <w:r>
        <w:t xml:space="preserve">6. Step 4 of 8 — A Modelled View (Frequency / Severity)</w:t>
      </w:r>
    </w:p>
    <w:tbl>
      <w:tblPr>
        <w:tblW w:type="dxa" w:w="9360"/>
        <w:tblBorders>
          <w:top w:val="single" w:color="1F3864" w:sz="4"/>
          <w:left w:val="single" w:color="1F3864" w:sz="16"/>
          <w:bottom w:val="single" w:color="1F3864" w:sz="4"/>
          <w:right w:val="single" w:color="1F3864" w:sz="4"/>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1F3864"/>
              </w:rPr>
              <w:t xml:space="preserve">In Plain English</w:t>
            </w:r>
          </w:p>
          <w:p>
            <w:pPr>
              <w:spacing w:after="0" w:line="270"/>
            </w:pPr>
            <w:r>
              <w:t xml:space="preserve">Ten years of history is useful, but it is still a small sample — a layer like this might genuinely be hit, say, once every three years on average, but with only ten years of data we could easily have seen more or fewer events than the long-run truth just by chance. To reduce that sampling risk, we also build a statistical model: how often does this layer tend to be hit (‘frequency’), and when it is hit, how large is the loss typically (‘severity’)? Multiplying those together gives a second, independent estimate of the expected annual cost to the layer, which we then blend with the burning cost view in the next step.</w:t>
            </w:r>
          </w:p>
        </w:tc>
      </w:tr>
    </w:tbl>
    <w:p>
      <w:pPr>
        <w:pStyle w:val="Heading2"/>
        <w:spacing w:after="120" w:before="280"/>
      </w:pPr>
      <w:r>
        <w:t xml:space="preserve">6.1 The approach</w:t>
      </w:r>
    </w:p>
    <w:p>
      <w:pPr>
        <w:spacing w:after="160" w:line="276"/>
      </w:pPr>
      <w:r>
        <w:t xml:space="preserve">Frequency is estimated simply as the number of losses that reached this layer, divided by the number of years observed: 3 losses ÷ 10 years = 0.3 expected events per year (i.e. roughly one loss to this layer every three to four years). Severity — how large a loss is, given that one occurs — is fitted to a lognormal distribution (a standard shape for insurance loss sizes, which does not allow negative values and has a long right-hand tail for the occasional very large loss) using the mean and spread of the three losses to the layer that were actually observed.</w:t>
      </w:r>
    </w:p>
    <w:tbl>
      <w:tblPr>
        <w:tblW w:type="dxa" w:w="9360"/>
        <w:tblBorders>
          <w:top w:val="single" w:color="444444" w:sz="4"/>
          <w:left w:val="single" w:color="444444" w:sz="16"/>
          <w:bottom w:val="single" w:color="444444" w:sz="4"/>
          <w:right w:val="single" w:color="444444" w:sz="4"/>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60"/>
            </w:pPr>
            <w:r>
              <w:rPr>
                <w:b/>
                <w:bCs/>
                <w:color w:val="444444"/>
              </w:rPr>
              <w:t xml:space="preserve">Formula</w:t>
            </w:r>
          </w:p>
          <w:p>
            <w:pPr>
              <w:spacing w:after="0" w:line="270"/>
            </w:pPr>
            <w:r>
              <w:t xml:space="preserve">Expected annual loss to layer = frequency (λ) × expected severity to layer
Frequency λ = number of claims to layer ÷ number of years observed
Severity is fit as lognormal(μ, σ) via method of moments on the observed losses-to-layer</w:t>
            </w:r>
          </w:p>
        </w:tc>
      </w:tr>
    </w:tbl>
    <w:p>
      <w:pPr>
        <w:pStyle w:val="Heading2"/>
        <w:spacing w:after="120" w:before="280"/>
      </w:pPr>
      <w:r>
        <w:t xml:space="preserve">6.2 Results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5760"/>
      </w:tblGrid>
      <w:tr>
        <w:tc>
          <w:tcPr>
            <w:tcW w:type="dxa" w:w="3600"/>
            <w:shd w:fill="F2F2F2" w:val="clear"/>
            <w:tcMar>
              <w:top w:type="dxa" w:w="90"/>
              <w:left w:type="dxa" w:w="150"/>
              <w:bottom w:type="dxa" w:w="90"/>
              <w:right w:type="dxa" w:w="150"/>
            </w:tcMar>
            <w:vAlign w:val="center"/>
          </w:tcPr>
          <w:p>
            <w:r>
              <w:rPr>
                <w:b/>
                <w:bCs/>
              </w:rPr>
              <w:t xml:space="preserve">Claims reaching this layer</w:t>
            </w:r>
          </w:p>
        </w:tc>
        <w:tc>
          <w:tcPr>
            <w:tcW w:type="dxa" w:w="5760"/>
            <w:tcMar>
              <w:top w:type="dxa" w:w="90"/>
              <w:left w:type="dxa" w:w="150"/>
              <w:bottom w:type="dxa" w:w="90"/>
              <w:right w:type="dxa" w:w="150"/>
            </w:tcMar>
            <w:vAlign w:val="center"/>
          </w:tcPr>
          <w:p>
            <w:r>
              <w:t xml:space="preserve">3 over 10 years</w:t>
            </w:r>
          </w:p>
        </w:tc>
      </w:tr>
      <w:tr>
        <w:tc>
          <w:tcPr>
            <w:tcW w:type="dxa" w:w="3600"/>
            <w:shd w:fill="FFFFFF" w:val="clear"/>
            <w:tcMar>
              <w:top w:type="dxa" w:w="90"/>
              <w:left w:type="dxa" w:w="150"/>
              <w:bottom w:type="dxa" w:w="90"/>
              <w:right w:type="dxa" w:w="150"/>
            </w:tcMar>
            <w:vAlign w:val="center"/>
          </w:tcPr>
          <w:p>
            <w:r>
              <w:rPr>
                <w:b/>
                <w:bCs/>
              </w:rPr>
              <w:t xml:space="preserve">Fitted annual frequency (λ)</w:t>
            </w:r>
          </w:p>
        </w:tc>
        <w:tc>
          <w:tcPr>
            <w:tcW w:type="dxa" w:w="5760"/>
            <w:tcMar>
              <w:top w:type="dxa" w:w="90"/>
              <w:left w:type="dxa" w:w="150"/>
              <w:bottom w:type="dxa" w:w="90"/>
              <w:right w:type="dxa" w:w="150"/>
            </w:tcMar>
            <w:vAlign w:val="center"/>
          </w:tcPr>
          <w:p>
            <w:r>
              <w:t xml:space="preserve">0.3 events per year</w:t>
            </w:r>
          </w:p>
        </w:tc>
      </w:tr>
      <w:tr>
        <w:tc>
          <w:tcPr>
            <w:tcW w:type="dxa" w:w="3600"/>
            <w:shd w:fill="FFFFFF" w:val="clear"/>
            <w:tcMar>
              <w:top w:type="dxa" w:w="90"/>
              <w:left w:type="dxa" w:w="150"/>
              <w:bottom w:type="dxa" w:w="90"/>
              <w:right w:type="dxa" w:w="150"/>
            </w:tcMar>
            <w:vAlign w:val="center"/>
          </w:tcPr>
          <w:p>
            <w:r>
              <w:rPr>
                <w:b/>
                <w:bCs/>
              </w:rPr>
              <w:t xml:space="preserve">Fitted severity distribution</w:t>
            </w:r>
          </w:p>
        </w:tc>
        <w:tc>
          <w:tcPr>
            <w:tcW w:type="dxa" w:w="5760"/>
            <w:tcMar>
              <w:top w:type="dxa" w:w="90"/>
              <w:left w:type="dxa" w:w="150"/>
              <w:bottom w:type="dxa" w:w="90"/>
              <w:right w:type="dxa" w:w="150"/>
            </w:tcMar>
            <w:vAlign w:val="center"/>
          </w:tcPr>
          <w:p>
            <w:r>
              <w:t xml:space="preserve">Lognormal, μ = 17.6296, σ = 0.1546</w:t>
            </w:r>
          </w:p>
        </w:tc>
      </w:tr>
      <w:tr>
        <w:tc>
          <w:tcPr>
            <w:tcW w:type="dxa" w:w="3600"/>
            <w:shd w:fill="FFFFFF" w:val="clear"/>
            <w:tcMar>
              <w:top w:type="dxa" w:w="90"/>
              <w:left w:type="dxa" w:w="150"/>
              <w:bottom w:type="dxa" w:w="90"/>
              <w:right w:type="dxa" w:w="150"/>
            </w:tcMar>
            <w:vAlign w:val="center"/>
          </w:tcPr>
          <w:p>
            <w:r>
              <w:rPr>
                <w:b/>
                <w:bCs/>
              </w:rPr>
              <w:t xml:space="preserve">Expected severity, given a loss occurs</w:t>
            </w:r>
          </w:p>
        </w:tc>
        <w:tc>
          <w:tcPr>
            <w:tcW w:type="dxa" w:w="5760"/>
            <w:tcMar>
              <w:top w:type="dxa" w:w="90"/>
              <w:left w:type="dxa" w:w="150"/>
              <w:bottom w:type="dxa" w:w="90"/>
              <w:right w:type="dxa" w:w="150"/>
            </w:tcMar>
            <w:vAlign w:val="center"/>
          </w:tcPr>
          <w:p>
            <w:r>
              <w:t xml:space="preserve">$45,880,267</w:t>
            </w:r>
          </w:p>
        </w:tc>
      </w:tr>
      <w:tr>
        <w:tc>
          <w:tcPr>
            <w:tcW w:type="dxa" w:w="3600"/>
            <w:shd w:fill="FFFFFF" w:val="clear"/>
            <w:tcMar>
              <w:top w:type="dxa" w:w="90"/>
              <w:left w:type="dxa" w:w="150"/>
              <w:bottom w:type="dxa" w:w="90"/>
              <w:right w:type="dxa" w:w="150"/>
            </w:tcMar>
            <w:vAlign w:val="center"/>
          </w:tcPr>
          <w:p>
            <w:r>
              <w:rPr>
                <w:b/>
                <w:bCs/>
              </w:rPr>
              <w:t xml:space="preserve">Modelled expected annual loss to layer</w:t>
            </w:r>
          </w:p>
        </w:tc>
        <w:tc>
          <w:tcPr>
            <w:tcW w:type="dxa" w:w="5760"/>
            <w:tcMar>
              <w:top w:type="dxa" w:w="90"/>
              <w:left w:type="dxa" w:w="150"/>
              <w:bottom w:type="dxa" w:w="90"/>
              <w:right w:type="dxa" w:w="150"/>
            </w:tcMar>
            <w:vAlign w:val="center"/>
          </w:tcPr>
          <w:p>
            <w:r>
              <w:t xml:space="preserve">$13,764,080  (= 0.3 × $45,880,267)</w:t>
            </w:r>
          </w:p>
        </w:tc>
      </w:tr>
      <w:tr>
        <w:tc>
          <w:tcPr>
            <w:tcW w:type="dxa" w:w="3600"/>
            <w:shd w:fill="FFFFFF" w:val="clear"/>
            <w:tcMar>
              <w:top w:type="dxa" w:w="90"/>
              <w:left w:type="dxa" w:w="150"/>
              <w:bottom w:type="dxa" w:w="90"/>
              <w:right w:type="dxa" w:w="150"/>
            </w:tcMar>
            <w:vAlign w:val="center"/>
          </w:tcPr>
          <w:p>
            <w:r>
              <w:rPr>
                <w:b/>
                <w:bCs/>
              </w:rPr>
              <w:t xml:space="preserve">Exposure indication as % of premium</w:t>
            </w:r>
          </w:p>
        </w:tc>
        <w:tc>
          <w:tcPr>
            <w:tcW w:type="dxa" w:w="5760"/>
            <w:tcMar>
              <w:top w:type="dxa" w:w="90"/>
              <w:left w:type="dxa" w:w="150"/>
              <w:bottom w:type="dxa" w:w="90"/>
              <w:right w:type="dxa" w:w="150"/>
            </w:tcMar>
            <w:vAlign w:val="center"/>
          </w:tcPr>
          <w:p>
            <w:r>
              <w:t xml:space="preserve">164.40%</w:t>
            </w:r>
          </w:p>
        </w:tc>
      </w:tr>
    </w:tbl>
    <w:tbl>
      <w:tblPr>
        <w:tblW w:type="dxa" w:w="9360"/>
        <w:tblBorders>
          <w:top w:val="single" w:color="1E6B1E" w:sz="4"/>
          <w:left w:val="single" w:color="1E6B1E" w:sz="16"/>
          <w:bottom w:val="single" w:color="1E6B1E" w:sz="4"/>
          <w:right w:val="single" w:color="1E6B1E" w:sz="4"/>
          <w:insideH w:val="single" w:color="auto" w:sz="4"/>
          <w:insideV w:val="single" w:color="auto" w:sz="4"/>
        </w:tblBorders>
      </w:tblPr>
      <w:tblGrid>
        <w:gridCol w:w="9360"/>
      </w:tblGrid>
      <w:tr>
        <w:tc>
          <w:tcPr>
            <w:tcW w:type="dxa" w:w="9360"/>
            <w:shd w:fill="E7F3E8" w:val="clear"/>
            <w:tcMar>
              <w:top w:type="dxa" w:w="140"/>
              <w:left w:type="dxa" w:w="200"/>
              <w:bottom w:type="dxa" w:w="140"/>
              <w:right w:type="dxa" w:w="200"/>
            </w:tcMar>
          </w:tcPr>
          <w:p>
            <w:pPr>
              <w:spacing w:after="60"/>
            </w:pPr>
            <w:r>
              <w:rPr>
                <w:b/>
                <w:bCs/>
                <w:color w:val="1E6B1E"/>
              </w:rPr>
              <w:t xml:space="preserve">In Plain English</w:t>
            </w:r>
          </w:p>
          <w:p>
            <w:pPr>
              <w:spacing w:after="0" w:line="270"/>
            </w:pPr>
            <w:r>
              <w:t xml:space="preserve">The modelled view lands close to the burning-cost view (164.40% versus 157.65% of premium) — that agreement is reassuring, since it means two different methods, one based purely on what actually happened and one based on statistical modelling, are telling a broadly consistent story about this layer.</w:t>
            </w:r>
          </w:p>
        </w:tc>
      </w:tr>
    </w:tbl>
    <w:p>
      <w:pPr>
        <w:spacing w:after="160" w:line="276"/>
      </w:pPr>
      <w:r>
        <w:rPr>
          <w:i/>
          <w:iCs/>
          <w:color w:val="666666"/>
          <w:sz w:val="20"/>
          <w:szCs w:val="20"/>
        </w:rPr>
        <w:t xml:space="preserve">Governed tool used: fit_frequency_severity_models()</w:t>
      </w:r>
    </w:p>
    <w:p>
      <w:r>
        <w:br w:type="page"/>
      </w:r>
    </w:p>
    <w:p>
      <w:pPr>
        <w:pStyle w:val="Heading1"/>
        <w:spacing w:after="160" w:before="360"/>
      </w:pPr>
      <w:r>
        <w:t xml:space="preserve">7. Step 5 of 8 — How Much to Trust the Actual Experience (“Credibility”)</w:t>
      </w:r>
    </w:p>
    <w:tbl>
      <w:tblPr>
        <w:tblW w:type="dxa" w:w="9360"/>
        <w:tblBorders>
          <w:top w:val="single" w:color="1F3864" w:sz="4"/>
          <w:left w:val="single" w:color="1F3864" w:sz="16"/>
          <w:bottom w:val="single" w:color="1F3864" w:sz="4"/>
          <w:right w:val="single" w:color="1F3864" w:sz="4"/>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1F3864"/>
              </w:rPr>
              <w:t xml:space="preserve">In Plain English</w:t>
            </w:r>
          </w:p>
          <w:p>
            <w:pPr>
              <w:spacing w:after="0" w:line="270"/>
            </w:pPr>
            <w:r>
              <w:t xml:space="preserve">We now have two views — the experience (burning cost) view and the modelled (frequency/severity) view. “Credibility” is the technical term for deciding how much weight to put on the actual claims history versus the model, based on how much data we actually have. With only 3 claims observed, we do not have enough history to fully trust the experience view on its own — a single unlucky or lucky decade could distort it — so some weight is also given to the modelled view, which draws on broader assumptions rather than just this cedant's own three events.</w:t>
            </w:r>
          </w:p>
        </w:tc>
      </w:tr>
    </w:tbl>
    <w:p>
      <w:pPr>
        <w:pStyle w:val="Heading2"/>
        <w:spacing w:after="120" w:before="280"/>
      </w:pPr>
      <w:r>
        <w:t xml:space="preserve">7.1 The formula and standard</w:t>
      </w:r>
    </w:p>
    <w:tbl>
      <w:tblPr>
        <w:tblW w:type="dxa" w:w="9360"/>
        <w:tblBorders>
          <w:top w:val="single" w:color="444444" w:sz="4"/>
          <w:left w:val="single" w:color="444444" w:sz="16"/>
          <w:bottom w:val="single" w:color="444444" w:sz="4"/>
          <w:right w:val="single" w:color="444444" w:sz="4"/>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60"/>
            </w:pPr>
            <w:r>
              <w:rPr>
                <w:b/>
                <w:bCs/>
                <w:color w:val="444444"/>
              </w:rPr>
              <w:t xml:space="preserve">Formula</w:t>
            </w:r>
          </w:p>
          <w:p>
            <w:pPr>
              <w:spacing w:after="0" w:line="270"/>
            </w:pPr>
            <w:r>
              <w:t xml:space="preserve">Credibility weight Z = square root of (number of claims ÷ claims needed for full credibility)
Full credibility standard for this type of layer (per the approved credibility standard): 15 claims
Below 3 claims, Z is capped at 0.25 regardless of the formula result (a floor for very thin data)</w:t>
            </w:r>
          </w:p>
        </w:tc>
      </w:tr>
    </w:tbl>
    <w:p>
      <w:pPr>
        <w:spacing w:after="160" w:line="276"/>
      </w:pPr>
      <w:r>
        <w:t xml:space="preserve">This submission has exactly 3 claims to the layer, which is at the minimum floor but not below it, so the standard formula is used rather than the floor cap:</w:t>
      </w:r>
    </w:p>
    <w:tbl>
      <w:tblPr>
        <w:tblW w:type="dxa" w:w="9360"/>
        <w:tblBorders>
          <w:top w:val="single" w:color="8A6D00" w:sz="4"/>
          <w:left w:val="single" w:color="8A6D00" w:sz="16"/>
          <w:bottom w:val="single" w:color="8A6D00" w:sz="4"/>
          <w:right w:val="single" w:color="8A6D00" w:sz="4"/>
          <w:insideH w:val="single" w:color="auto" w:sz="4"/>
          <w:insideV w:val="single" w:color="auto" w:sz="4"/>
        </w:tblBorders>
      </w:tblPr>
      <w:tblGrid>
        <w:gridCol w:w="9360"/>
      </w:tblGrid>
      <w:tr>
        <w:tc>
          <w:tcPr>
            <w:tcW w:type="dxa" w:w="9360"/>
            <w:shd w:fill="FDF2D0" w:val="clear"/>
            <w:tcMar>
              <w:top w:type="dxa" w:w="140"/>
              <w:left w:type="dxa" w:w="200"/>
              <w:bottom w:type="dxa" w:w="140"/>
              <w:right w:type="dxa" w:w="200"/>
            </w:tcMar>
          </w:tcPr>
          <w:p>
            <w:pPr>
              <w:spacing w:after="60"/>
            </w:pPr>
            <w:r>
              <w:rPr>
                <w:b/>
                <w:bCs/>
                <w:color w:val="8A6D00"/>
              </w:rPr>
              <w:t xml:space="preserve">Worked Example</w:t>
            </w:r>
          </w:p>
          <w:p>
            <w:pPr>
              <w:spacing w:after="0" w:line="270"/>
            </w:pPr>
            <w:r>
              <w:t xml:space="preserve">Z = √(3 ÷ 15) = √0.20 = 0.4472</w:t>
            </w:r>
          </w:p>
        </w:tc>
      </w:tr>
    </w:tbl>
    <w:p>
      <w:pPr>
        <w:pStyle w:val="Heading2"/>
        <w:spacing w:after="120" w:before="280"/>
      </w:pPr>
      <w:r>
        <w:t xml:space="preserve">7.2 Result and what it means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5760"/>
      </w:tblGrid>
      <w:tr>
        <w:tc>
          <w:tcPr>
            <w:tcW w:type="dxa" w:w="3600"/>
            <w:shd w:fill="F2F2F2" w:val="clear"/>
            <w:tcMar>
              <w:top w:type="dxa" w:w="90"/>
              <w:left w:type="dxa" w:w="150"/>
              <w:bottom w:type="dxa" w:w="90"/>
              <w:right w:type="dxa" w:w="150"/>
            </w:tcMar>
            <w:vAlign w:val="center"/>
          </w:tcPr>
          <w:p>
            <w:r>
              <w:rPr>
                <w:b/>
                <w:bCs/>
              </w:rPr>
              <w:t xml:space="preserve">Claims to layer observed</w:t>
            </w:r>
          </w:p>
        </w:tc>
        <w:tc>
          <w:tcPr>
            <w:tcW w:type="dxa" w:w="5760"/>
            <w:tcMar>
              <w:top w:type="dxa" w:w="90"/>
              <w:left w:type="dxa" w:w="150"/>
              <w:bottom w:type="dxa" w:w="90"/>
              <w:right w:type="dxa" w:w="150"/>
            </w:tcMar>
            <w:vAlign w:val="center"/>
          </w:tcPr>
          <w:p>
            <w:r>
              <w:t xml:space="preserve">3</w:t>
            </w:r>
          </w:p>
        </w:tc>
      </w:tr>
      <w:tr>
        <w:tc>
          <w:tcPr>
            <w:tcW w:type="dxa" w:w="3600"/>
            <w:shd w:fill="FFFFFF" w:val="clear"/>
            <w:tcMar>
              <w:top w:type="dxa" w:w="90"/>
              <w:left w:type="dxa" w:w="150"/>
              <w:bottom w:type="dxa" w:w="90"/>
              <w:right w:type="dxa" w:w="150"/>
            </w:tcMar>
            <w:vAlign w:val="center"/>
          </w:tcPr>
          <w:p>
            <w:r>
              <w:rPr>
                <w:b/>
                <w:bCs/>
              </w:rPr>
              <w:t xml:space="preserve">Claims required for full (100%) credibility</w:t>
            </w:r>
          </w:p>
        </w:tc>
        <w:tc>
          <w:tcPr>
            <w:tcW w:type="dxa" w:w="5760"/>
            <w:tcMar>
              <w:top w:type="dxa" w:w="90"/>
              <w:left w:type="dxa" w:w="150"/>
              <w:bottom w:type="dxa" w:w="90"/>
              <w:right w:type="dxa" w:w="150"/>
            </w:tcMar>
            <w:vAlign w:val="center"/>
          </w:tcPr>
          <w:p>
            <w:r>
              <w:t xml:space="preserve">15</w:t>
            </w:r>
          </w:p>
        </w:tc>
      </w:tr>
      <w:tr>
        <w:tc>
          <w:tcPr>
            <w:tcW w:type="dxa" w:w="3600"/>
            <w:shd w:fill="FFFFFF" w:val="clear"/>
            <w:tcMar>
              <w:top w:type="dxa" w:w="90"/>
              <w:left w:type="dxa" w:w="150"/>
              <w:bottom w:type="dxa" w:w="90"/>
              <w:right w:type="dxa" w:w="150"/>
            </w:tcMar>
            <w:vAlign w:val="center"/>
          </w:tcPr>
          <w:p>
            <w:r>
              <w:rPr>
                <w:b/>
                <w:bCs/>
              </w:rPr>
              <w:t xml:space="preserve">Credibility weight (Z) given to the experience (burning cost) view</w:t>
            </w:r>
          </w:p>
        </w:tc>
        <w:tc>
          <w:tcPr>
            <w:tcW w:type="dxa" w:w="5760"/>
            <w:tcMar>
              <w:top w:type="dxa" w:w="90"/>
              <w:left w:type="dxa" w:w="150"/>
              <w:bottom w:type="dxa" w:w="90"/>
              <w:right w:type="dxa" w:w="150"/>
            </w:tcMar>
            <w:vAlign w:val="center"/>
          </w:tcPr>
          <w:p>
            <w:r>
              <w:t xml:space="preserve">0.4472  (≈45%)</w:t>
            </w:r>
          </w:p>
        </w:tc>
      </w:tr>
      <w:tr>
        <w:tc>
          <w:tcPr>
            <w:tcW w:type="dxa" w:w="3600"/>
            <w:shd w:fill="FFFFFF" w:val="clear"/>
            <w:tcMar>
              <w:top w:type="dxa" w:w="90"/>
              <w:left w:type="dxa" w:w="150"/>
              <w:bottom w:type="dxa" w:w="90"/>
              <w:right w:type="dxa" w:w="150"/>
            </w:tcMar>
            <w:vAlign w:val="center"/>
          </w:tcPr>
          <w:p>
            <w:r>
              <w:rPr>
                <w:b/>
                <w:bCs/>
              </w:rPr>
              <w:t xml:space="preserve">Weight given to the modelled (exposure) view</w:t>
            </w:r>
          </w:p>
        </w:tc>
        <w:tc>
          <w:tcPr>
            <w:tcW w:type="dxa" w:w="5760"/>
            <w:tcMar>
              <w:top w:type="dxa" w:w="90"/>
              <w:left w:type="dxa" w:w="150"/>
              <w:bottom w:type="dxa" w:w="90"/>
              <w:right w:type="dxa" w:w="150"/>
            </w:tcMar>
            <w:vAlign w:val="center"/>
          </w:tcPr>
          <w:p>
            <w:r>
              <w:t xml:space="preserve">0.5528  (≈55%)</w:t>
            </w:r>
          </w:p>
        </w:tc>
      </w:tr>
    </w:tbl>
    <w:tbl>
      <w:tblPr>
        <w:tblW w:type="dxa" w:w="9360"/>
        <w:tblBorders>
          <w:top w:val="single" w:color="1F3864" w:sz="4"/>
          <w:left w:val="single" w:color="1F3864" w:sz="16"/>
          <w:bottom w:val="single" w:color="1F3864" w:sz="4"/>
          <w:right w:val="single" w:color="1F3864" w:sz="4"/>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1F3864"/>
              </w:rPr>
              <w:t xml:space="preserve">In Plain English</w:t>
            </w:r>
          </w:p>
          <w:p>
            <w:pPr>
              <w:spacing w:after="0" w:line="270"/>
            </w:pPr>
            <w:r>
              <w:t xml:space="preserve">In plain terms: because this cedant's own claims history to this layer is thin (only 3 events), the final price gives slightly more weight (about 55%) to the statistical model and slightly less (about 45%) to what has actually happened historically. This is a deliberate, standard actuarial safeguard against over-reacting to a small number of data points — it does not mean the actual losses are ignored, only that they are balanced against a broader modelled view.</w:t>
            </w:r>
          </w:p>
        </w:tc>
      </w:tr>
    </w:tbl>
    <w:p>
      <w:pPr>
        <w:spacing w:after="160" w:line="276"/>
      </w:pPr>
      <w:r>
        <w:rPr>
          <w:i/>
          <w:iCs/>
          <w:color w:val="666666"/>
          <w:sz w:val="20"/>
          <w:szCs w:val="20"/>
        </w:rPr>
        <w:t xml:space="preserve">Governed tool used: calculate_credibility_weight()</w:t>
      </w:r>
    </w:p>
    <w:p>
      <w:r>
        <w:br w:type="page"/>
      </w:r>
    </w:p>
    <w:p>
      <w:pPr>
        <w:pStyle w:val="Heading1"/>
        <w:spacing w:after="160" w:before="360"/>
      </w:pPr>
      <w:r>
        <w:t xml:space="preserve">8. Step 6 of 8 — Building the Technical Price</w:t>
      </w:r>
    </w:p>
    <w:tbl>
      <w:tblPr>
        <w:tblW w:type="dxa" w:w="9360"/>
        <w:tblBorders>
          <w:top w:val="single" w:color="1F3864" w:sz="4"/>
          <w:left w:val="single" w:color="1F3864" w:sz="16"/>
          <w:bottom w:val="single" w:color="1F3864" w:sz="4"/>
          <w:right w:val="single" w:color="1F3864" w:sz="4"/>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1F3864"/>
              </w:rPr>
              <w:t xml:space="preserve">In Plain English</w:t>
            </w:r>
          </w:p>
          <w:p>
            <w:pPr>
              <w:spacing w:after="0" w:line="270"/>
            </w:pPr>
            <w:r>
              <w:t xml:space="preserve">This step blends the two views from above into a single expected annual cost, then adds on the costs of actually running this business: the cedant's own expenses, our internal administration cost, the cost of holding capital against the risk of a very large loss, and a target profit margin. The result is the technical price — the premium that, mathematically, is expected to cover losses, expenses, the cost of capital, and a reasonable margin, based purely on the analysis above.</w:t>
            </w:r>
          </w:p>
        </w:tc>
      </w:tr>
    </w:tbl>
    <w:p>
      <w:pPr>
        <w:pStyle w:val="Heading2"/>
        <w:spacing w:after="120" w:before="280"/>
      </w:pPr>
      <w:r>
        <w:t xml:space="preserve">8.1 Blending the two indications</w:t>
      </w:r>
    </w:p>
    <w:tbl>
      <w:tblPr>
        <w:tblW w:type="dxa" w:w="9360"/>
        <w:tblBorders>
          <w:top w:val="single" w:color="444444" w:sz="4"/>
          <w:left w:val="single" w:color="444444" w:sz="16"/>
          <w:bottom w:val="single" w:color="444444" w:sz="4"/>
          <w:right w:val="single" w:color="444444" w:sz="4"/>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60"/>
            </w:pPr>
            <w:r>
              <w:rPr>
                <w:b/>
                <w:bCs/>
                <w:color w:val="444444"/>
              </w:rPr>
              <w:t xml:space="preserve">Formula</w:t>
            </w:r>
          </w:p>
          <w:p>
            <w:pPr>
              <w:spacing w:after="0" w:line="270"/>
            </w:pPr>
            <w:r>
              <w:t xml:space="preserve">Blended expected annual loss cost = (Z × experience indication) + ((1 − Z) × modelled indication)
= (0.4472 × $13,198,605) + (0.5528 × $13,764,080)
= $5,902,742 + $7,608,458 = $13,511,199</w:t>
            </w:r>
          </w:p>
        </w:tc>
      </w:tr>
    </w:tbl>
    <w:p>
      <w:pPr>
        <w:pStyle w:val="Heading2"/>
        <w:spacing w:after="120" w:before="280"/>
      </w:pPr>
      <w:r>
        <w:t xml:space="preserve">8.2 Loading for expenses, capital and margin</w:t>
      </w:r>
    </w:p>
    <w:p>
      <w:pPr>
        <w:spacing w:after="160" w:line="276"/>
      </w:pPr>
      <w:r>
        <w:t xml:space="preserve">The blended loss cost above is only the expected claims cost. On top of that, the approved expense and capital parameters document requires the following additions, each of which is fixed centrally rather than chosen case-by-case:</w:t>
      </w:r>
    </w:p>
    <w:p>
      <w:pPr>
        <w:pStyle w:val="ListParagraph"/>
        <w:numPr>
          <w:ilvl w:val="0"/>
          <w:numId w:val="2"/>
        </w:numPr>
        <w:spacing w:after="80"/>
      </w:pPr>
      <w:r>
        <w:t xml:space="preserve">Expense allowance: 10.00% of premium (the cedant's brokerage and internal expense allowance)</w:t>
      </w:r>
    </w:p>
    <w:p>
      <w:pPr>
        <w:pStyle w:val="ListParagraph"/>
        <w:numPr>
          <w:ilvl w:val="0"/>
          <w:numId w:val="2"/>
        </w:numPr>
        <w:spacing w:after="80"/>
      </w:pPr>
      <w:r>
        <w:t xml:space="preserve">Internal administration cost: 1.50% of premium (our own cost of running the treaty)</w:t>
      </w:r>
    </w:p>
    <w:p>
      <w:pPr>
        <w:pStyle w:val="ListParagraph"/>
        <w:numPr>
          <w:ilvl w:val="0"/>
          <w:numId w:val="2"/>
        </w:numPr>
        <w:spacing w:after="80"/>
      </w:pPr>
      <w:r>
        <w:t xml:space="preserve">Cost-of-capital load: 12.00% of the blended loss cost, a simplified proxy for the return we need on the capital this layer ties up, given how large and infrequent its losses are</w:t>
      </w:r>
    </w:p>
    <w:p>
      <w:pPr>
        <w:pStyle w:val="ListParagraph"/>
        <w:numPr>
          <w:ilvl w:val="0"/>
          <w:numId w:val="2"/>
        </w:numPr>
        <w:spacing w:after="80"/>
      </w:pPr>
      <w:r>
        <w:t xml:space="preserve">Target technical margin: 6.00%, a planning margin built into the technical price — not the final commercial margin, which is a separate decision</w:t>
      </w:r>
    </w:p>
    <w:tbl>
      <w:tblPr>
        <w:tblW w:type="dxa" w:w="9360"/>
        <w:tblBorders>
          <w:top w:val="single" w:color="444444" w:sz="4"/>
          <w:left w:val="single" w:color="444444" w:sz="16"/>
          <w:bottom w:val="single" w:color="444444" w:sz="4"/>
          <w:right w:val="single" w:color="444444" w:sz="4"/>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60"/>
            </w:pPr>
            <w:r>
              <w:rPr>
                <w:b/>
                <w:bCs/>
                <w:color w:val="444444"/>
              </w:rPr>
              <w:t xml:space="preserve">Formula</w:t>
            </w:r>
          </w:p>
          <w:p>
            <w:pPr>
              <w:spacing w:after="0" w:line="270"/>
            </w:pPr>
            <w:r>
              <w:t xml:space="preserve">Technical premium = (blended loss cost + capital load) ÷ (1 − expense% − admin% − margin%)
Capital load = $13,511,199 × 12.00% = $1,621,344
Technical premium = ($13,511,199 + $1,621,344) ÷ (1 − 0.10 − 0.015 − 0.06)
= $15,132,543 ÷ 0.825 = $18,342,477</w:t>
            </w:r>
          </w:p>
        </w:tc>
      </w:tr>
    </w:tbl>
    <w:p>
      <w:pPr>
        <w:pStyle w:val="Heading2"/>
        <w:spacing w:after="120" w:before="280"/>
      </w:pPr>
      <w:r>
        <w:t xml:space="preserve">8.3 Result</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5760"/>
      </w:tblGrid>
      <w:tr>
        <w:tc>
          <w:tcPr>
            <w:tcW w:type="dxa" w:w="3600"/>
            <w:shd w:fill="F2F2F2" w:val="clear"/>
            <w:tcMar>
              <w:top w:type="dxa" w:w="90"/>
              <w:left w:type="dxa" w:w="150"/>
              <w:bottom w:type="dxa" w:w="90"/>
              <w:right w:type="dxa" w:w="150"/>
            </w:tcMar>
            <w:vAlign w:val="center"/>
          </w:tcPr>
          <w:p>
            <w:r>
              <w:rPr>
                <w:b/>
                <w:bCs/>
              </w:rPr>
              <w:t xml:space="preserve">Blended expected annual loss cost</w:t>
            </w:r>
          </w:p>
        </w:tc>
        <w:tc>
          <w:tcPr>
            <w:tcW w:type="dxa" w:w="5760"/>
            <w:tcMar>
              <w:top w:type="dxa" w:w="90"/>
              <w:left w:type="dxa" w:w="150"/>
              <w:bottom w:type="dxa" w:w="90"/>
              <w:right w:type="dxa" w:w="150"/>
            </w:tcMar>
            <w:vAlign w:val="center"/>
          </w:tcPr>
          <w:p>
            <w:r>
              <w:t xml:space="preserve">$13,511,199</w:t>
            </w:r>
          </w:p>
        </w:tc>
      </w:tr>
      <w:tr>
        <w:tc>
          <w:tcPr>
            <w:tcW w:type="dxa" w:w="3600"/>
            <w:shd w:fill="FFFFFF" w:val="clear"/>
            <w:tcMar>
              <w:top w:type="dxa" w:w="90"/>
              <w:left w:type="dxa" w:w="150"/>
              <w:bottom w:type="dxa" w:w="90"/>
              <w:right w:type="dxa" w:w="150"/>
            </w:tcMar>
            <w:vAlign w:val="center"/>
          </w:tcPr>
          <w:p>
            <w:r>
              <w:rPr>
                <w:b/>
                <w:bCs/>
              </w:rPr>
              <w:t xml:space="preserve">Capital load (12% of loss cost)</w:t>
            </w:r>
          </w:p>
        </w:tc>
        <w:tc>
          <w:tcPr>
            <w:tcW w:type="dxa" w:w="5760"/>
            <w:tcMar>
              <w:top w:type="dxa" w:w="90"/>
              <w:left w:type="dxa" w:w="150"/>
              <w:bottom w:type="dxa" w:w="90"/>
              <w:right w:type="dxa" w:w="150"/>
            </w:tcMar>
            <w:vAlign w:val="center"/>
          </w:tcPr>
          <w:p>
            <w:r>
              <w:t xml:space="preserve">$1,621,344</w:t>
            </w:r>
          </w:p>
        </w:tc>
      </w:tr>
      <w:tr>
        <w:tc>
          <w:tcPr>
            <w:tcW w:type="dxa" w:w="3600"/>
            <w:shd w:fill="FFFFFF" w:val="clear"/>
            <w:tcMar>
              <w:top w:type="dxa" w:w="90"/>
              <w:left w:type="dxa" w:w="150"/>
              <w:bottom w:type="dxa" w:w="90"/>
              <w:right w:type="dxa" w:w="150"/>
            </w:tcMar>
            <w:vAlign w:val="center"/>
          </w:tcPr>
          <w:p>
            <w:r>
              <w:rPr>
                <w:b/>
                <w:bCs/>
              </w:rPr>
              <w:t xml:space="preserve">Expense + admin + margin loading</w:t>
            </w:r>
          </w:p>
        </w:tc>
        <w:tc>
          <w:tcPr>
            <w:tcW w:type="dxa" w:w="5760"/>
            <w:tcMar>
              <w:top w:type="dxa" w:w="90"/>
              <w:left w:type="dxa" w:w="150"/>
              <w:bottom w:type="dxa" w:w="90"/>
              <w:right w:type="dxa" w:w="150"/>
            </w:tcMar>
            <w:vAlign w:val="center"/>
          </w:tcPr>
          <w:p>
            <w:r>
              <w:t xml:space="preserve">17.50% of premium (10.00% + 1.50% + 6.00%)</w:t>
            </w:r>
          </w:p>
        </w:tc>
      </w:tr>
      <w:tr>
        <w:tc>
          <w:tcPr>
            <w:tcW w:type="dxa" w:w="3600"/>
            <w:shd w:fill="FFFFFF" w:val="clear"/>
            <w:tcMar>
              <w:top w:type="dxa" w:w="90"/>
              <w:left w:type="dxa" w:w="150"/>
              <w:bottom w:type="dxa" w:w="90"/>
              <w:right w:type="dxa" w:w="150"/>
            </w:tcMar>
            <w:vAlign w:val="center"/>
          </w:tcPr>
          <w:p>
            <w:r>
              <w:rPr>
                <w:b/>
                <w:bCs/>
              </w:rPr>
              <w:t xml:space="preserve">Technical Price Indication</w:t>
            </w:r>
          </w:p>
        </w:tc>
        <w:tc>
          <w:tcPr>
            <w:tcW w:type="dxa" w:w="5760"/>
            <w:tcMar>
              <w:top w:type="dxa" w:w="90"/>
              <w:left w:type="dxa" w:w="150"/>
              <w:bottom w:type="dxa" w:w="90"/>
              <w:right w:type="dxa" w:w="150"/>
            </w:tcMar>
            <w:vAlign w:val="center"/>
          </w:tcPr>
          <w:p>
            <w:r>
              <w:t xml:space="preserve">$18,342,477</w:t>
            </w:r>
          </w:p>
        </w:tc>
      </w:tr>
      <w:tr>
        <w:tc>
          <w:tcPr>
            <w:tcW w:type="dxa" w:w="3600"/>
            <w:shd w:fill="FFFFFF" w:val="clear"/>
            <w:tcMar>
              <w:top w:type="dxa" w:w="90"/>
              <w:left w:type="dxa" w:w="150"/>
              <w:bottom w:type="dxa" w:w="90"/>
              <w:right w:type="dxa" w:w="150"/>
            </w:tcMar>
            <w:vAlign w:val="center"/>
          </w:tcPr>
          <w:p>
            <w:r>
              <w:rPr>
                <w:b/>
                <w:bCs/>
              </w:rPr>
              <w:t xml:space="preserve">As a percentage of current on-level premium</w:t>
            </w:r>
          </w:p>
        </w:tc>
        <w:tc>
          <w:tcPr>
            <w:tcW w:type="dxa" w:w="5760"/>
            <w:tcMar>
              <w:top w:type="dxa" w:w="90"/>
              <w:left w:type="dxa" w:w="150"/>
              <w:bottom w:type="dxa" w:w="90"/>
              <w:right w:type="dxa" w:w="150"/>
            </w:tcMar>
            <w:vAlign w:val="center"/>
          </w:tcPr>
          <w:p>
            <w:r>
              <w:t xml:space="preserve">219.09%</w:t>
            </w:r>
          </w:p>
        </w:tc>
      </w:tr>
    </w:tbl>
    <w:tbl>
      <w:tblPr>
        <w:tblW w:type="dxa" w:w="9360"/>
        <w:tblBorders>
          <w:top w:val="single" w:color="1E6B1E" w:sz="4"/>
          <w:left w:val="single" w:color="1E6B1E" w:sz="16"/>
          <w:bottom w:val="single" w:color="1E6B1E" w:sz="4"/>
          <w:right w:val="single" w:color="1E6B1E" w:sz="4"/>
          <w:insideH w:val="single" w:color="auto" w:sz="4"/>
          <w:insideV w:val="single" w:color="auto" w:sz="4"/>
        </w:tblBorders>
      </w:tblPr>
      <w:tblGrid>
        <w:gridCol w:w="9360"/>
      </w:tblGrid>
      <w:tr>
        <w:tc>
          <w:tcPr>
            <w:tcW w:type="dxa" w:w="9360"/>
            <w:shd w:fill="E7F3E8" w:val="clear"/>
            <w:tcMar>
              <w:top w:type="dxa" w:w="140"/>
              <w:left w:type="dxa" w:w="200"/>
              <w:bottom w:type="dxa" w:w="140"/>
              <w:right w:type="dxa" w:w="200"/>
            </w:tcMar>
          </w:tcPr>
          <w:p>
            <w:pPr>
              <w:spacing w:after="60"/>
            </w:pPr>
            <w:r>
              <w:rPr>
                <w:b/>
                <w:bCs/>
                <w:color w:val="1E6B1E"/>
              </w:rPr>
              <w:t xml:space="preserve">In Plain English</w:t>
            </w:r>
          </w:p>
          <w:p>
            <w:pPr>
              <w:spacing w:after="0" w:line="270"/>
            </w:pPr>
            <w:r>
              <w:t xml:space="preserve">$18,342,477 is the headline number: the technical price indication for this layer for the coming year, built entirely from the approved methodology and fixed, pre-approved assumptions — no judgmental adjustment has been added at this stage.</w:t>
            </w:r>
          </w:p>
        </w:tc>
      </w:tr>
    </w:tbl>
    <w:p>
      <w:pPr>
        <w:spacing w:after="160" w:line="276"/>
      </w:pPr>
      <w:r>
        <w:rPr>
          <w:i/>
          <w:iCs/>
          <w:color w:val="666666"/>
          <w:sz w:val="20"/>
          <w:szCs w:val="20"/>
        </w:rPr>
        <w:t xml:space="preserve">Governed tool used: calculate_technical_price()</w:t>
      </w:r>
    </w:p>
    <w:p>
      <w:r>
        <w:br w:type="page"/>
      </w:r>
    </w:p>
    <w:p>
      <w:pPr>
        <w:pStyle w:val="Heading1"/>
        <w:spacing w:after="160" w:before="360"/>
      </w:pPr>
      <w:r>
        <w:t xml:space="preserve">9. Step 7 of 8 — Sensitivity Testing (“What If” Scenarios)</w:t>
      </w:r>
    </w:p>
    <w:tbl>
      <w:tblPr>
        <w:tblW w:type="dxa" w:w="9360"/>
        <w:tblBorders>
          <w:top w:val="single" w:color="1F3864" w:sz="4"/>
          <w:left w:val="single" w:color="1F3864" w:sz="16"/>
          <w:bottom w:val="single" w:color="1F3864" w:sz="4"/>
          <w:right w:val="single" w:color="1F3864" w:sz="4"/>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1F3864"/>
              </w:rPr>
              <w:t xml:space="preserve">In Plain English</w:t>
            </w:r>
          </w:p>
          <w:p>
            <w:pPr>
              <w:spacing w:after="0" w:line="270"/>
            </w:pPr>
            <w:r>
              <w:t xml:space="preserve">No single number tells the whole story, especially with only 3 relevant losses in the data. This section shows how much the technical price would change under a range of “what if” scenarios — for example, what if the attachment point or limit were slightly different, what if the trend assumption were a little higher or lower, or what if the single largest loss in the data were excluded. This gives a sense of the range around the central estimate, and which assumptions matter most.</w:t>
            </w:r>
          </w:p>
        </w:tc>
      </w:tr>
    </w:tbl>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560"/>
        <w:gridCol w:w="2900"/>
        <w:gridCol w:w="2900"/>
      </w:tblGrid>
      <w:tr>
        <w:trPr>
          <w:tblHeader/>
        </w:trPr>
        <w:tc>
          <w:tcPr>
            <w:tcW w:type="dxa" w:w="3560"/>
            <w:shd w:fill="1F3864" w:val="clear"/>
            <w:tcMar>
              <w:top w:type="dxa" w:w="90"/>
              <w:left w:type="dxa" w:w="120"/>
              <w:bottom w:type="dxa" w:w="90"/>
              <w:right w:type="dxa" w:w="120"/>
            </w:tcMar>
            <w:vAlign w:val="center"/>
          </w:tcPr>
          <w:p>
            <w:pPr>
              <w:jc w:val="left"/>
            </w:pPr>
            <w:r>
              <w:rPr>
                <w:b/>
                <w:bCs/>
                <w:color w:val="FFFFFF"/>
              </w:rPr>
              <w:t xml:space="preserve">Scenario</w:t>
            </w:r>
          </w:p>
        </w:tc>
        <w:tc>
          <w:tcPr>
            <w:tcW w:type="dxa" w:w="2900"/>
            <w:shd w:fill="1F3864" w:val="clear"/>
            <w:tcMar>
              <w:top w:type="dxa" w:w="90"/>
              <w:left w:type="dxa" w:w="120"/>
              <w:bottom w:type="dxa" w:w="90"/>
              <w:right w:type="dxa" w:w="120"/>
            </w:tcMar>
            <w:vAlign w:val="center"/>
          </w:tcPr>
          <w:p>
            <w:pPr>
              <w:jc w:val="right"/>
            </w:pPr>
            <w:r>
              <w:rPr>
                <w:b/>
                <w:bCs/>
                <w:color w:val="FFFFFF"/>
              </w:rPr>
              <w:t xml:space="preserve">Technical Premium</w:t>
            </w:r>
          </w:p>
        </w:tc>
        <w:tc>
          <w:tcPr>
            <w:tcW w:type="dxa" w:w="2900"/>
            <w:shd w:fill="1F3864" w:val="clear"/>
            <w:tcMar>
              <w:top w:type="dxa" w:w="90"/>
              <w:left w:type="dxa" w:w="120"/>
              <w:bottom w:type="dxa" w:w="90"/>
              <w:right w:type="dxa" w:w="120"/>
            </w:tcMar>
            <w:vAlign w:val="center"/>
          </w:tcPr>
          <w:p>
            <w:pPr>
              <w:jc w:val="right"/>
            </w:pPr>
            <w:r>
              <w:rPr>
                <w:b/>
                <w:bCs/>
                <w:color w:val="FFFFFF"/>
              </w:rPr>
              <w:t xml:space="preserve">Change vs Base Case</w:t>
            </w:r>
          </w:p>
        </w:tc>
      </w:tr>
      <w:tr>
        <w:tc>
          <w:tcPr>
            <w:tcW w:type="dxa" w:w="3560"/>
            <w:shd w:fill="FFFFFF" w:val="clear"/>
            <w:tcMar>
              <w:top w:type="dxa" w:w="80"/>
              <w:left w:type="dxa" w:w="120"/>
              <w:bottom w:type="dxa" w:w="80"/>
              <w:right w:type="dxa" w:w="120"/>
            </w:tcMar>
            <w:vAlign w:val="center"/>
          </w:tcPr>
          <w:p>
            <w:pPr>
              <w:jc w:val="left"/>
            </w:pPr>
            <w:r>
              <w:t xml:space="preserve">Base case</w:t>
            </w:r>
          </w:p>
        </w:tc>
        <w:tc>
          <w:tcPr>
            <w:tcW w:type="dxa" w:w="2900"/>
            <w:shd w:fill="FFFFFF" w:val="clear"/>
            <w:tcMar>
              <w:top w:type="dxa" w:w="80"/>
              <w:left w:type="dxa" w:w="120"/>
              <w:bottom w:type="dxa" w:w="80"/>
              <w:right w:type="dxa" w:w="120"/>
            </w:tcMar>
            <w:vAlign w:val="center"/>
          </w:tcPr>
          <w:p>
            <w:pPr>
              <w:jc w:val="right"/>
            </w:pPr>
            <w:r>
              <w:t xml:space="preserve">$18,342,477</w:t>
            </w:r>
          </w:p>
        </w:tc>
        <w:tc>
          <w:tcPr>
            <w:tcW w:type="dxa" w:w="2900"/>
            <w:shd w:fill="FFFFFF" w:val="clear"/>
            <w:tcMar>
              <w:top w:type="dxa" w:w="80"/>
              <w:left w:type="dxa" w:w="120"/>
              <w:bottom w:type="dxa" w:w="80"/>
              <w:right w:type="dxa" w:w="120"/>
            </w:tcMar>
            <w:vAlign w:val="center"/>
          </w:tcPr>
          <w:p>
            <w:pPr>
              <w:jc w:val="right"/>
            </w:pPr>
            <w:r>
              <w:t xml:space="preserve">—</w:t>
            </w:r>
          </w:p>
        </w:tc>
      </w:tr>
      <w:tr>
        <w:tc>
          <w:tcPr>
            <w:tcW w:type="dxa" w:w="3560"/>
            <w:shd w:fill="F2F2F2" w:val="clear"/>
            <w:tcMar>
              <w:top w:type="dxa" w:w="80"/>
              <w:left w:type="dxa" w:w="120"/>
              <w:bottom w:type="dxa" w:w="80"/>
              <w:right w:type="dxa" w:w="120"/>
            </w:tcMar>
            <w:vAlign w:val="center"/>
          </w:tcPr>
          <w:p>
            <w:pPr>
              <w:jc w:val="left"/>
            </w:pPr>
            <w:r>
              <w:t xml:space="preserve">Attachment 25% lower ($37.5m)</w:t>
            </w:r>
          </w:p>
        </w:tc>
        <w:tc>
          <w:tcPr>
            <w:tcW w:type="dxa" w:w="2900"/>
            <w:shd w:fill="F2F2F2" w:val="clear"/>
            <w:tcMar>
              <w:top w:type="dxa" w:w="80"/>
              <w:left w:type="dxa" w:w="120"/>
              <w:bottom w:type="dxa" w:w="80"/>
              <w:right w:type="dxa" w:w="120"/>
            </w:tcMar>
            <w:vAlign w:val="center"/>
          </w:tcPr>
          <w:p>
            <w:pPr>
              <w:jc w:val="right"/>
            </w:pPr>
            <w:r>
              <w:t xml:space="preserve">$19,989,714</w:t>
            </w:r>
          </w:p>
        </w:tc>
        <w:tc>
          <w:tcPr>
            <w:tcW w:type="dxa" w:w="2900"/>
            <w:shd w:fill="F2F2F2" w:val="clear"/>
            <w:tcMar>
              <w:top w:type="dxa" w:w="80"/>
              <w:left w:type="dxa" w:w="120"/>
              <w:bottom w:type="dxa" w:w="80"/>
              <w:right w:type="dxa" w:w="120"/>
            </w:tcMar>
            <w:vAlign w:val="center"/>
          </w:tcPr>
          <w:p>
            <w:pPr>
              <w:jc w:val="right"/>
            </w:pPr>
            <w:r>
              <w:t xml:space="preserve">+8.98%</w:t>
            </w:r>
          </w:p>
        </w:tc>
      </w:tr>
      <w:tr>
        <w:tc>
          <w:tcPr>
            <w:tcW w:type="dxa" w:w="3560"/>
            <w:shd w:fill="FFFFFF" w:val="clear"/>
            <w:tcMar>
              <w:top w:type="dxa" w:w="80"/>
              <w:left w:type="dxa" w:w="120"/>
              <w:bottom w:type="dxa" w:w="80"/>
              <w:right w:type="dxa" w:w="120"/>
            </w:tcMar>
            <w:vAlign w:val="center"/>
          </w:tcPr>
          <w:p>
            <w:pPr>
              <w:jc w:val="left"/>
            </w:pPr>
            <w:r>
              <w:t xml:space="preserve">Attachment 25% higher ($62.5m)</w:t>
            </w:r>
          </w:p>
        </w:tc>
        <w:tc>
          <w:tcPr>
            <w:tcW w:type="dxa" w:w="2900"/>
            <w:shd w:fill="FFFFFF" w:val="clear"/>
            <w:tcMar>
              <w:top w:type="dxa" w:w="80"/>
              <w:left w:type="dxa" w:w="120"/>
              <w:bottom w:type="dxa" w:w="80"/>
              <w:right w:type="dxa" w:w="120"/>
            </w:tcMar>
            <w:vAlign w:val="center"/>
          </w:tcPr>
          <w:p>
            <w:pPr>
              <w:jc w:val="right"/>
            </w:pPr>
            <w:r>
              <w:t xml:space="preserve">$15,490,700</w:t>
            </w:r>
          </w:p>
        </w:tc>
        <w:tc>
          <w:tcPr>
            <w:tcW w:type="dxa" w:w="2900"/>
            <w:shd w:fill="FFFFFF" w:val="clear"/>
            <w:tcMar>
              <w:top w:type="dxa" w:w="80"/>
              <w:left w:type="dxa" w:w="120"/>
              <w:bottom w:type="dxa" w:w="80"/>
              <w:right w:type="dxa" w:w="120"/>
            </w:tcMar>
            <w:vAlign w:val="center"/>
          </w:tcPr>
          <w:p>
            <w:pPr>
              <w:jc w:val="right"/>
            </w:pPr>
            <w:r>
              <w:t xml:space="preserve">-15.55%</w:t>
            </w:r>
          </w:p>
        </w:tc>
      </w:tr>
      <w:tr>
        <w:tc>
          <w:tcPr>
            <w:tcW w:type="dxa" w:w="3560"/>
            <w:shd w:fill="F2F2F2" w:val="clear"/>
            <w:tcMar>
              <w:top w:type="dxa" w:w="80"/>
              <w:left w:type="dxa" w:w="120"/>
              <w:bottom w:type="dxa" w:w="80"/>
              <w:right w:type="dxa" w:w="120"/>
            </w:tcMar>
            <w:vAlign w:val="center"/>
          </w:tcPr>
          <w:p>
            <w:pPr>
              <w:jc w:val="left"/>
            </w:pPr>
            <w:r>
              <w:t xml:space="preserve">Limit 25% lower ($37.5m)</w:t>
            </w:r>
          </w:p>
        </w:tc>
        <w:tc>
          <w:tcPr>
            <w:tcW w:type="dxa" w:w="2900"/>
            <w:shd w:fill="F2F2F2" w:val="clear"/>
            <w:tcMar>
              <w:top w:type="dxa" w:w="80"/>
              <w:left w:type="dxa" w:w="120"/>
              <w:bottom w:type="dxa" w:w="80"/>
              <w:right w:type="dxa" w:w="120"/>
            </w:tcMar>
            <w:vAlign w:val="center"/>
          </w:tcPr>
          <w:p>
            <w:pPr>
              <w:jc w:val="right"/>
            </w:pPr>
            <w:r>
              <w:t xml:space="preserve">$14,992,413</w:t>
            </w:r>
          </w:p>
        </w:tc>
        <w:tc>
          <w:tcPr>
            <w:tcW w:type="dxa" w:w="2900"/>
            <w:shd w:fill="F2F2F2" w:val="clear"/>
            <w:tcMar>
              <w:top w:type="dxa" w:w="80"/>
              <w:left w:type="dxa" w:w="120"/>
              <w:bottom w:type="dxa" w:w="80"/>
              <w:right w:type="dxa" w:w="120"/>
            </w:tcMar>
            <w:vAlign w:val="center"/>
          </w:tcPr>
          <w:p>
            <w:pPr>
              <w:jc w:val="right"/>
            </w:pPr>
            <w:r>
              <w:t xml:space="preserve">-18.26%</w:t>
            </w:r>
          </w:p>
        </w:tc>
      </w:tr>
      <w:tr>
        <w:tc>
          <w:tcPr>
            <w:tcW w:type="dxa" w:w="3560"/>
            <w:shd w:fill="FFFFFF" w:val="clear"/>
            <w:tcMar>
              <w:top w:type="dxa" w:w="80"/>
              <w:left w:type="dxa" w:w="120"/>
              <w:bottom w:type="dxa" w:w="80"/>
              <w:right w:type="dxa" w:w="120"/>
            </w:tcMar>
            <w:vAlign w:val="center"/>
          </w:tcPr>
          <w:p>
            <w:pPr>
              <w:jc w:val="left"/>
            </w:pPr>
            <w:r>
              <w:t xml:space="preserve">Limit 25% higher ($62.5m)</w:t>
            </w:r>
          </w:p>
        </w:tc>
        <w:tc>
          <w:tcPr>
            <w:tcW w:type="dxa" w:w="2900"/>
            <w:shd w:fill="FFFFFF" w:val="clear"/>
            <w:tcMar>
              <w:top w:type="dxa" w:w="80"/>
              <w:left w:type="dxa" w:w="120"/>
              <w:bottom w:type="dxa" w:w="80"/>
              <w:right w:type="dxa" w:w="120"/>
            </w:tcMar>
            <w:vAlign w:val="center"/>
          </w:tcPr>
          <w:p>
            <w:pPr>
              <w:jc w:val="right"/>
            </w:pPr>
            <w:r>
              <w:t xml:space="preserve">$20,488,001</w:t>
            </w:r>
          </w:p>
        </w:tc>
        <w:tc>
          <w:tcPr>
            <w:tcW w:type="dxa" w:w="2900"/>
            <w:shd w:fill="FFFFFF" w:val="clear"/>
            <w:tcMar>
              <w:top w:type="dxa" w:w="80"/>
              <w:left w:type="dxa" w:w="120"/>
              <w:bottom w:type="dxa" w:w="80"/>
              <w:right w:type="dxa" w:w="120"/>
            </w:tcMar>
            <w:vAlign w:val="center"/>
          </w:tcPr>
          <w:p>
            <w:pPr>
              <w:jc w:val="right"/>
            </w:pPr>
            <w:r>
              <w:t xml:space="preserve">+11.70%</w:t>
            </w:r>
          </w:p>
        </w:tc>
      </w:tr>
      <w:tr>
        <w:tc>
          <w:tcPr>
            <w:tcW w:type="dxa" w:w="3560"/>
            <w:shd w:fill="F2F2F2" w:val="clear"/>
            <w:tcMar>
              <w:top w:type="dxa" w:w="80"/>
              <w:left w:type="dxa" w:w="120"/>
              <w:bottom w:type="dxa" w:w="80"/>
              <w:right w:type="dxa" w:w="120"/>
            </w:tcMar>
            <w:vAlign w:val="center"/>
          </w:tcPr>
          <w:p>
            <w:pPr>
              <w:jc w:val="left"/>
            </w:pPr>
            <w:r>
              <w:t xml:space="preserve">Loss trend 2 points lower (4.00%)</w:t>
            </w:r>
          </w:p>
        </w:tc>
        <w:tc>
          <w:tcPr>
            <w:tcW w:type="dxa" w:w="2900"/>
            <w:shd w:fill="F2F2F2" w:val="clear"/>
            <w:tcMar>
              <w:top w:type="dxa" w:w="80"/>
              <w:left w:type="dxa" w:w="120"/>
              <w:bottom w:type="dxa" w:w="80"/>
              <w:right w:type="dxa" w:w="120"/>
            </w:tcMar>
            <w:vAlign w:val="center"/>
          </w:tcPr>
          <w:p>
            <w:pPr>
              <w:jc w:val="right"/>
            </w:pPr>
            <w:r>
              <w:t xml:space="preserve">$18,108,770</w:t>
            </w:r>
          </w:p>
        </w:tc>
        <w:tc>
          <w:tcPr>
            <w:tcW w:type="dxa" w:w="2900"/>
            <w:shd w:fill="F2F2F2" w:val="clear"/>
            <w:tcMar>
              <w:top w:type="dxa" w:w="80"/>
              <w:left w:type="dxa" w:w="120"/>
              <w:bottom w:type="dxa" w:w="80"/>
              <w:right w:type="dxa" w:w="120"/>
            </w:tcMar>
            <w:vAlign w:val="center"/>
          </w:tcPr>
          <w:p>
            <w:pPr>
              <w:jc w:val="right"/>
            </w:pPr>
            <w:r>
              <w:t xml:space="preserve">-1.27%</w:t>
            </w:r>
          </w:p>
        </w:tc>
      </w:tr>
      <w:tr>
        <w:tc>
          <w:tcPr>
            <w:tcW w:type="dxa" w:w="3560"/>
            <w:shd w:fill="FFFFFF" w:val="clear"/>
            <w:tcMar>
              <w:top w:type="dxa" w:w="80"/>
              <w:left w:type="dxa" w:w="120"/>
              <w:bottom w:type="dxa" w:w="80"/>
              <w:right w:type="dxa" w:w="120"/>
            </w:tcMar>
            <w:vAlign w:val="center"/>
          </w:tcPr>
          <w:p>
            <w:pPr>
              <w:jc w:val="left"/>
            </w:pPr>
            <w:r>
              <w:t xml:space="preserve">Loss trend 2 points higher (8.00%)</w:t>
            </w:r>
          </w:p>
        </w:tc>
        <w:tc>
          <w:tcPr>
            <w:tcW w:type="dxa" w:w="2900"/>
            <w:shd w:fill="FFFFFF" w:val="clear"/>
            <w:tcMar>
              <w:top w:type="dxa" w:w="80"/>
              <w:left w:type="dxa" w:w="120"/>
              <w:bottom w:type="dxa" w:w="80"/>
              <w:right w:type="dxa" w:w="120"/>
            </w:tcMar>
            <w:vAlign w:val="center"/>
          </w:tcPr>
          <w:p>
            <w:pPr>
              <w:jc w:val="right"/>
            </w:pPr>
            <w:r>
              <w:t xml:space="preserve">$18,576,184</w:t>
            </w:r>
          </w:p>
        </w:tc>
        <w:tc>
          <w:tcPr>
            <w:tcW w:type="dxa" w:w="2900"/>
            <w:shd w:fill="FFFFFF" w:val="clear"/>
            <w:tcMar>
              <w:top w:type="dxa" w:w="80"/>
              <w:left w:type="dxa" w:w="120"/>
              <w:bottom w:type="dxa" w:w="80"/>
              <w:right w:type="dxa" w:w="120"/>
            </w:tcMar>
            <w:vAlign w:val="center"/>
          </w:tcPr>
          <w:p>
            <w:pPr>
              <w:jc w:val="right"/>
            </w:pPr>
            <w:r>
              <w:t xml:space="preserve">+1.27%</w:t>
            </w:r>
          </w:p>
        </w:tc>
      </w:tr>
      <w:tr>
        <w:tc>
          <w:tcPr>
            <w:tcW w:type="dxa" w:w="3560"/>
            <w:shd w:fill="F2F2F2" w:val="clear"/>
            <w:tcMar>
              <w:top w:type="dxa" w:w="80"/>
              <w:left w:type="dxa" w:w="120"/>
              <w:bottom w:type="dxa" w:w="80"/>
              <w:right w:type="dxa" w:w="120"/>
            </w:tcMar>
            <w:vAlign w:val="center"/>
          </w:tcPr>
          <w:p>
            <w:pPr>
              <w:jc w:val="left"/>
            </w:pPr>
            <w:r>
              <w:t xml:space="preserve">Largest single loss excluded</w:t>
            </w:r>
          </w:p>
        </w:tc>
        <w:tc>
          <w:tcPr>
            <w:tcW w:type="dxa" w:w="2900"/>
            <w:shd w:fill="F2F2F2" w:val="clear"/>
            <w:tcMar>
              <w:top w:type="dxa" w:w="80"/>
              <w:left w:type="dxa" w:w="120"/>
              <w:bottom w:type="dxa" w:w="80"/>
              <w:right w:type="dxa" w:w="120"/>
            </w:tcMar>
            <w:vAlign w:val="center"/>
          </w:tcPr>
          <w:p>
            <w:pPr>
              <w:jc w:val="right"/>
            </w:pPr>
            <w:r>
              <w:t xml:space="preserve">$11,775,662</w:t>
            </w:r>
          </w:p>
        </w:tc>
        <w:tc>
          <w:tcPr>
            <w:tcW w:type="dxa" w:w="2900"/>
            <w:shd w:fill="F2F2F2" w:val="clear"/>
            <w:tcMar>
              <w:top w:type="dxa" w:w="80"/>
              <w:left w:type="dxa" w:w="120"/>
              <w:bottom w:type="dxa" w:w="80"/>
              <w:right w:type="dxa" w:w="120"/>
            </w:tcMar>
            <w:vAlign w:val="center"/>
          </w:tcPr>
          <w:p>
            <w:pPr>
              <w:jc w:val="right"/>
            </w:pPr>
            <w:r>
              <w:t xml:space="preserve">-35.80%</w:t>
            </w:r>
          </w:p>
        </w:tc>
      </w:tr>
    </w:tbl>
    <w:tbl>
      <w:tblPr>
        <w:tblW w:type="dxa" w:w="9360"/>
        <w:tblBorders>
          <w:top w:val="single" w:color="8A6D00" w:sz="4"/>
          <w:left w:val="single" w:color="8A6D00" w:sz="16"/>
          <w:bottom w:val="single" w:color="8A6D00" w:sz="4"/>
          <w:right w:val="single" w:color="8A6D00" w:sz="4"/>
          <w:insideH w:val="single" w:color="auto" w:sz="4"/>
          <w:insideV w:val="single" w:color="auto" w:sz="4"/>
        </w:tblBorders>
      </w:tblPr>
      <w:tblGrid>
        <w:gridCol w:w="9360"/>
      </w:tblGrid>
      <w:tr>
        <w:tc>
          <w:tcPr>
            <w:tcW w:type="dxa" w:w="9360"/>
            <w:shd w:fill="FDF2D0" w:val="clear"/>
            <w:tcMar>
              <w:top w:type="dxa" w:w="140"/>
              <w:left w:type="dxa" w:w="200"/>
              <w:bottom w:type="dxa" w:w="140"/>
              <w:right w:type="dxa" w:w="200"/>
            </w:tcMar>
          </w:tcPr>
          <w:p>
            <w:pPr>
              <w:spacing w:after="60"/>
            </w:pPr>
            <w:r>
              <w:rPr>
                <w:b/>
                <w:bCs/>
                <w:color w:val="8A6D00"/>
              </w:rPr>
              <w:t xml:space="preserve">In Plain English</w:t>
            </w:r>
          </w:p>
          <w:p>
            <w:pPr>
              <w:spacing w:after="0" w:line="270"/>
            </w:pPr>
            <w:r>
              <w:t xml:space="preserve">Two things stand out. First, the price is fairly insensitive to small changes in the trend assumption (roughly ±1% either way for a ±2-point change in trend) — that assumption is not the main driver of the result. Second, and much more importantly, the price is highly sensitive to the attachment point, the limit, and especially to whether the single largest historical loss is included: removing just that one event drops the technical price by nearly 36%. This confirms what Section 4 already flagged — this result rests on a small number of large events, which is exactly why the credibility weighting in Section 7 gives real but partial weight to the raw experience.</w:t>
            </w:r>
          </w:p>
        </w:tc>
      </w:tr>
    </w:tbl>
    <w:p>
      <w:pPr>
        <w:spacing w:after="160" w:line="276"/>
      </w:pPr>
      <w:r>
        <w:rPr>
          <w:i/>
          <w:iCs/>
          <w:sz w:val="21"/>
          <w:szCs w:val="21"/>
        </w:rPr>
        <w:t xml:space="preserve">Note: the largest-loss-removed scenario is shown purely as a sensitivity, to illustrate its influence on the result. It has not been — and, under the governed rules this agent operates under, cannot be — applied to the base case technical price without a documented, catastrophe-model-validated justification signed off by a peer reviewer.</w:t>
      </w:r>
    </w:p>
    <w:p>
      <w:pPr>
        <w:spacing w:after="160" w:line="276"/>
      </w:pPr>
      <w:r>
        <w:rPr>
          <w:i/>
          <w:iCs/>
          <w:color w:val="666666"/>
          <w:sz w:val="20"/>
          <w:szCs w:val="20"/>
        </w:rPr>
        <w:t xml:space="preserve">Governed tool used: run_pricing_sensitivities()</w:t>
      </w:r>
    </w:p>
    <w:p>
      <w:r>
        <w:br w:type="page"/>
      </w:r>
    </w:p>
    <w:p>
      <w:pPr>
        <w:pStyle w:val="Heading1"/>
        <w:spacing w:after="160" w:before="360"/>
      </w:pPr>
      <w:r>
        <w:t xml:space="preserve">10. Step 8 of 8 — Comparison to the Expiring Price</w:t>
      </w:r>
    </w:p>
    <w:tbl>
      <w:tblPr>
        <w:tblW w:type="dxa" w:w="9360"/>
        <w:tblBorders>
          <w:top w:val="single" w:color="1F3864" w:sz="4"/>
          <w:left w:val="single" w:color="1F3864" w:sz="16"/>
          <w:bottom w:val="single" w:color="1F3864" w:sz="4"/>
          <w:right w:val="single" w:color="1F3864" w:sz="4"/>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1F3864"/>
              </w:rPr>
              <w:t xml:space="preserve">In Plain English</w:t>
            </w:r>
          </w:p>
          <w:p>
            <w:pPr>
              <w:spacing w:after="0" w:line="270"/>
            </w:pPr>
            <w:r>
              <w:t xml:space="preserve">Finally, we compare the new technical price to what was actually charged last time, purely for context — this comparison does not change the calculation, it just shows the size of the indicated movement.</w:t>
            </w:r>
          </w:p>
        </w:tc>
      </w:tr>
    </w:tbl>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5760"/>
      </w:tblGrid>
      <w:tr>
        <w:tc>
          <w:tcPr>
            <w:tcW w:type="dxa" w:w="3600"/>
            <w:shd w:fill="F2F2F2" w:val="clear"/>
            <w:tcMar>
              <w:top w:type="dxa" w:w="90"/>
              <w:left w:type="dxa" w:w="150"/>
              <w:bottom w:type="dxa" w:w="90"/>
              <w:right w:type="dxa" w:w="150"/>
            </w:tcMar>
            <w:vAlign w:val="center"/>
          </w:tcPr>
          <w:p>
            <w:r>
              <w:rPr>
                <w:b/>
                <w:bCs/>
              </w:rPr>
              <w:t xml:space="preserve">Expiring technical premium</w:t>
            </w:r>
          </w:p>
        </w:tc>
        <w:tc>
          <w:tcPr>
            <w:tcW w:type="dxa" w:w="5760"/>
            <w:tcMar>
              <w:top w:type="dxa" w:w="90"/>
              <w:left w:type="dxa" w:w="150"/>
              <w:bottom w:type="dxa" w:w="90"/>
              <w:right w:type="dxa" w:w="150"/>
            </w:tcMar>
            <w:vAlign w:val="center"/>
          </w:tcPr>
          <w:p>
            <w:r>
              <w:t xml:space="preserve">$7,800,000</w:t>
            </w:r>
          </w:p>
        </w:tc>
      </w:tr>
      <w:tr>
        <w:tc>
          <w:tcPr>
            <w:tcW w:type="dxa" w:w="3600"/>
            <w:shd w:fill="FFFFFF" w:val="clear"/>
            <w:tcMar>
              <w:top w:type="dxa" w:w="90"/>
              <w:left w:type="dxa" w:w="150"/>
              <w:bottom w:type="dxa" w:w="90"/>
              <w:right w:type="dxa" w:w="150"/>
            </w:tcMar>
            <w:vAlign w:val="center"/>
          </w:tcPr>
          <w:p>
            <w:r>
              <w:rPr>
                <w:b/>
                <w:bCs/>
              </w:rPr>
              <w:t xml:space="preserve">This year's technical price indication</w:t>
            </w:r>
          </w:p>
        </w:tc>
        <w:tc>
          <w:tcPr>
            <w:tcW w:type="dxa" w:w="5760"/>
            <w:tcMar>
              <w:top w:type="dxa" w:w="90"/>
              <w:left w:type="dxa" w:w="150"/>
              <w:bottom w:type="dxa" w:w="90"/>
              <w:right w:type="dxa" w:w="150"/>
            </w:tcMar>
            <w:vAlign w:val="center"/>
          </w:tcPr>
          <w:p>
            <w:r>
              <w:t xml:space="preserve">$18,342,477</w:t>
            </w:r>
          </w:p>
        </w:tc>
      </w:tr>
      <w:tr>
        <w:tc>
          <w:tcPr>
            <w:tcW w:type="dxa" w:w="3600"/>
            <w:shd w:fill="FFFFFF" w:val="clear"/>
            <w:tcMar>
              <w:top w:type="dxa" w:w="90"/>
              <w:left w:type="dxa" w:w="150"/>
              <w:bottom w:type="dxa" w:w="90"/>
              <w:right w:type="dxa" w:w="150"/>
            </w:tcMar>
            <w:vAlign w:val="center"/>
          </w:tcPr>
          <w:p>
            <w:r>
              <w:rPr>
                <w:b/>
                <w:bCs/>
              </w:rPr>
              <w:t xml:space="preserve">Indicated technical rate change</w:t>
            </w:r>
          </w:p>
        </w:tc>
        <w:tc>
          <w:tcPr>
            <w:tcW w:type="dxa" w:w="5760"/>
            <w:tcMar>
              <w:top w:type="dxa" w:w="90"/>
              <w:left w:type="dxa" w:w="150"/>
              <w:bottom w:type="dxa" w:w="90"/>
              <w:right w:type="dxa" w:w="150"/>
            </w:tcMar>
            <w:vAlign w:val="center"/>
          </w:tcPr>
          <w:p>
            <w:r>
              <w:t xml:space="preserve">+135.16%</w:t>
            </w:r>
          </w:p>
        </w:tc>
      </w:tr>
    </w:tbl>
    <w:tbl>
      <w:tblPr>
        <w:tblW w:type="dxa" w:w="9360"/>
        <w:tblBorders>
          <w:top w:val="single" w:color="8A6D00" w:sz="4"/>
          <w:left w:val="single" w:color="8A6D00" w:sz="16"/>
          <w:bottom w:val="single" w:color="8A6D00" w:sz="4"/>
          <w:right w:val="single" w:color="8A6D00" w:sz="4"/>
          <w:insideH w:val="single" w:color="auto" w:sz="4"/>
          <w:insideV w:val="single" w:color="auto" w:sz="4"/>
        </w:tblBorders>
      </w:tblPr>
      <w:tblGrid>
        <w:gridCol w:w="9360"/>
      </w:tblGrid>
      <w:tr>
        <w:tc>
          <w:tcPr>
            <w:tcW w:type="dxa" w:w="9360"/>
            <w:shd w:fill="FDF2D0" w:val="clear"/>
            <w:tcMar>
              <w:top w:type="dxa" w:w="140"/>
              <w:left w:type="dxa" w:w="200"/>
              <w:bottom w:type="dxa" w:w="140"/>
              <w:right w:type="dxa" w:w="200"/>
            </w:tcMar>
          </w:tcPr>
          <w:p>
            <w:pPr>
              <w:spacing w:after="60"/>
            </w:pPr>
            <w:r>
              <w:rPr>
                <w:b/>
                <w:bCs/>
                <w:color w:val="8A6D00"/>
              </w:rPr>
              <w:t xml:space="preserve">In Plain English</w:t>
            </w:r>
          </w:p>
          <w:p>
            <w:pPr>
              <w:spacing w:after="0" w:line="270"/>
            </w:pPr>
            <w:r>
              <w:t xml:space="preserve">The technical analysis indicates a large increase is warranted, driven mainly by the fact that this layer has now been hit three times in ten years — twice for the full amount — which is materially worse experience than the expiring premium appears to have assumed. Whether, and how, to act on the full size of this indicated increase commercially is not something this analysis decides; see Section 12 for what happens next.</w:t>
            </w:r>
          </w:p>
        </w:tc>
      </w:tr>
    </w:tbl>
    <w:p>
      <w:r>
        <w:br w:type="page"/>
      </w:r>
    </w:p>
    <w:p>
      <w:pPr>
        <w:pStyle w:val="Heading1"/>
        <w:spacing w:after="160" w:before="360"/>
      </w:pPr>
      <w:r>
        <w:t xml:space="preserve">11. Controls Built Into This Process (“Guardrails”)</w:t>
      </w:r>
    </w:p>
    <w:tbl>
      <w:tblPr>
        <w:tblW w:type="dxa" w:w="9360"/>
        <w:tblBorders>
          <w:top w:val="single" w:color="1F3864" w:sz="4"/>
          <w:left w:val="single" w:color="1F3864" w:sz="16"/>
          <w:bottom w:val="single" w:color="1F3864" w:sz="4"/>
          <w:right w:val="single" w:color="1F3864" w:sz="4"/>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1F3864"/>
              </w:rPr>
              <w:t xml:space="preserve">In Plain English</w:t>
            </w:r>
          </w:p>
          <w:p>
            <w:pPr>
              <w:spacing w:after="0" w:line="270"/>
            </w:pPr>
            <w:r>
              <w:t xml:space="preserve">This analysis was not produced freehand — it was produced by an automated agent that is only allowed to operate within fixed rules, designed so that the numbers above can be trusted and checked. The four controls below are built into the software itself, not just written guidance, meaning the process actively stops and refuses to continue if any of them would be broken.</w:t>
            </w:r>
          </w:p>
        </w:tc>
      </w:tr>
    </w:tbl>
    <w:p>
      <w:pPr>
        <w:pStyle w:val="Heading2"/>
        <w:spacing w:after="120" w:before="280"/>
      </w:pPr>
      <w:r>
        <w:t xml:space="preserve">11.1 No unapproved assumptions</w:t>
      </w:r>
    </w:p>
    <w:p>
      <w:pPr>
        <w:spacing w:after="160" w:line="276"/>
      </w:pPr>
      <w:r>
        <w:t xml:space="preserve">Every assumption used above — the 6.00% wind trend, the 4.00% TIV trend default, the 15-claim credibility standard, and the 10.00% / 1.50% / 12.00% / 6.00% expense, admin, capital and margin loads — comes directly from a fixed, pre-approved reference document. The agent is not able to substitute a different number of its own choosing; attempting to do so causes the process to stop with an explicit error rather than silently using an unapproved figure.</w:t>
      </w:r>
    </w:p>
    <w:p>
      <w:pPr>
        <w:pStyle w:val="Heading2"/>
        <w:spacing w:after="120" w:before="280"/>
      </w:pPr>
      <w:r>
        <w:t xml:space="preserve">11.2 No quote, bind, or commercial recommendation</w:t>
      </w:r>
    </w:p>
    <w:p>
      <w:pPr>
        <w:spacing w:after="160" w:line="276"/>
      </w:pPr>
      <w:r>
        <w:t xml:space="preserve">This document presents a technical price indication only. It is built to be structurally incapable of stating a recommended final price, a decision to quote or bind, or any other commercial conclusion — those decisions sit with underwriting management, not with this analysis.</w:t>
      </w:r>
    </w:p>
    <w:p>
      <w:pPr>
        <w:pStyle w:val="Heading2"/>
        <w:spacing w:after="120" w:before="280"/>
      </w:pPr>
      <w:r>
        <w:t xml:space="preserve">11.3 Clear separation of technical and commercial content</w:t>
      </w:r>
    </w:p>
    <w:p>
      <w:pPr>
        <w:spacing w:after="160" w:line="276"/>
      </w:pPr>
      <w:r>
        <w:t xml:space="preserve">This document, and the accompanying pricing memorandum, always separate “what the maths says” (this document) from “what we decide to actually charge” (a separate commercial decision, made afterwards by underwriting management, taking this analysis into account alongside other factors).</w:t>
      </w:r>
    </w:p>
    <w:p>
      <w:pPr>
        <w:pStyle w:val="Heading2"/>
        <w:spacing w:after="120" w:before="280"/>
      </w:pPr>
      <w:r>
        <w:t xml:space="preserve">11.4 Full reproducibility</w:t>
      </w:r>
    </w:p>
    <w:p>
      <w:pPr>
        <w:spacing w:after="160" w:line="276"/>
      </w:pPr>
      <w:r>
        <w:t xml:space="preserve">Every number in this document can be traced back to a specific calculation step recorded in the underlying tool trace (Section 13). Nothing in this report is a manual override or an unrecorded adjustment — if a number appears here, it can be shown exactly how it was produced.</w:t>
      </w:r>
    </w:p>
    <w:p>
      <w:r>
        <w:br w:type="page"/>
      </w:r>
    </w:p>
    <w:p>
      <w:pPr>
        <w:pStyle w:val="Heading1"/>
        <w:spacing w:after="160" w:before="360"/>
      </w:pPr>
      <w:r>
        <w:t xml:space="preserve">12. Key Judgments, Limitations and What Happens Next</w:t>
      </w:r>
    </w:p>
    <w:p>
      <w:pPr>
        <w:pStyle w:val="Heading2"/>
        <w:spacing w:after="120" w:before="280"/>
      </w:pPr>
      <w:r>
        <w:t xml:space="preserve">12.1 Key judgments a reader should be aware of</w:t>
      </w:r>
    </w:p>
    <w:p>
      <w:pPr>
        <w:pStyle w:val="ListParagraph"/>
        <w:numPr>
          <w:ilvl w:val="0"/>
          <w:numId w:val="2"/>
        </w:numPr>
        <w:spacing w:after="80"/>
      </w:pPr>
      <w:r>
        <w:t xml:space="preserve">Only 3 losses in 10 years reached this layer — a small sample by any statistical standard. The credibility weighting in Section 7 partly addresses this, but it does not eliminate the underlying uncertainty.</w:t>
      </w:r>
    </w:p>
    <w:p>
      <w:pPr>
        <w:pStyle w:val="ListParagraph"/>
        <w:numPr>
          <w:ilvl w:val="0"/>
          <w:numId w:val="2"/>
        </w:numPr>
        <w:spacing w:after="80"/>
      </w:pPr>
      <w:r>
        <w:t xml:space="preserve">Two of those three losses used the entire layer limit. The technical price is therefore heavily influenced by whether these were representative events or unusually severe outliers — Section 9 shows this explicitly (a 35.8% swing from excluding just one event).</w:t>
      </w:r>
    </w:p>
    <w:p>
      <w:pPr>
        <w:pStyle w:val="ListParagraph"/>
        <w:numPr>
          <w:ilvl w:val="0"/>
          <w:numId w:val="2"/>
        </w:numPr>
        <w:spacing w:after="80"/>
      </w:pPr>
      <w:r>
        <w:t xml:space="preserve">The capital load (12% of loss cost) is a simplified proxy used because a full internal capital model output was not attached to this submission; the approved parameters document flags this as a simplification, and a full capital-model-based figure could differ.</w:t>
      </w:r>
    </w:p>
    <w:p>
      <w:pPr>
        <w:pStyle w:val="ListParagraph"/>
        <w:numPr>
          <w:ilvl w:val="0"/>
          <w:numId w:val="2"/>
        </w:numPr>
        <w:spacing w:after="80"/>
      </w:pPr>
      <w:r>
        <w:t xml:space="preserve">Premium on-levelling used the cedant's own reported TIV growth, which is preferable to an assumed default, but still relies on the accuracy of the TIV figures supplied.</w:t>
      </w:r>
    </w:p>
    <w:p>
      <w:pPr>
        <w:pStyle w:val="Heading2"/>
        <w:spacing w:after="120" w:before="280"/>
      </w:pPr>
      <w:r>
        <w:t xml:space="preserve">12.2 What this document is not</w:t>
      </w:r>
    </w:p>
    <w:tbl>
      <w:tblPr>
        <w:tblW w:type="dxa" w:w="9360"/>
        <w:tblBorders>
          <w:top w:val="single" w:color="1F3864" w:sz="4"/>
          <w:left w:val="single" w:color="1F3864" w:sz="16"/>
          <w:bottom w:val="single" w:color="1F3864" w:sz="4"/>
          <w:right w:val="single" w:color="1F3864" w:sz="4"/>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1F3864"/>
              </w:rPr>
              <w:t xml:space="preserve">In Plain English</w:t>
            </w:r>
          </w:p>
          <w:p>
            <w:pPr>
              <w:spacing w:after="0" w:line="270"/>
            </w:pPr>
            <w:r>
              <w:t xml:space="preserve">This is a technical, actuarial reference point — not a final answer on what to charge. Underwriting management will take this analysis, alongside factors it deliberately does not cover (competitive market conditions, the overall relationship with this cedant, portfolio strategy, and negotiation), to arrive at the actual commercial terms offered. A large indicated technical increase, as seen here, does not automatically mean the final commercial price will move by the same amount.</w:t>
            </w:r>
          </w:p>
        </w:tc>
      </w:tr>
    </w:tbl>
    <w:p>
      <w:pPr>
        <w:pStyle w:val="Heading2"/>
        <w:spacing w:after="120" w:before="280"/>
      </w:pPr>
      <w:r>
        <w:t xml:space="preserve">12.3 Next steps</w:t>
      </w:r>
    </w:p>
    <w:p>
      <w:pPr>
        <w:pStyle w:val="ListParagraph"/>
        <w:numPr>
          <w:ilvl w:val="0"/>
          <w:numId w:val="2"/>
        </w:numPr>
        <w:spacing w:after="80"/>
      </w:pPr>
      <w:r>
        <w:t xml:space="preserve">A qualified peer reviewer confirms this analysis against the checklist in Section 14 before it is relied upon.</w:t>
      </w:r>
    </w:p>
    <w:p>
      <w:pPr>
        <w:pStyle w:val="ListParagraph"/>
        <w:numPr>
          <w:ilvl w:val="0"/>
          <w:numId w:val="2"/>
        </w:numPr>
        <w:spacing w:after="80"/>
      </w:pPr>
      <w:r>
        <w:t xml:space="preserve">Underwriting management reviews this technical indication alongside commercial considerations and decides on final terms.</w:t>
      </w:r>
    </w:p>
    <w:p>
      <w:pPr>
        <w:pStyle w:val="ListParagraph"/>
        <w:numPr>
          <w:ilvl w:val="0"/>
          <w:numId w:val="2"/>
        </w:numPr>
        <w:spacing w:after="80"/>
      </w:pPr>
      <w:r>
        <w:t xml:space="preserve">If the client or reviewer has additional loss detail, updated exposure information, or views on the largest historical loss (e.g. evidence it was a one-off, non-repeatable event), this analysis can be re-run to reflect that, subject to the same governed process and sign-offs described in Section 11.</w:t>
      </w:r>
    </w:p>
    <w:p>
      <w:r>
        <w:br w:type="page"/>
      </w:r>
    </w:p>
    <w:p>
      <w:pPr>
        <w:pStyle w:val="Heading1"/>
        <w:spacing w:after="160" w:before="360"/>
      </w:pPr>
      <w:r>
        <w:t xml:space="preserve">13. Conclusion</w:t>
      </w:r>
    </w:p>
    <w:tbl>
      <w:tblPr>
        <w:tblW w:type="dxa" w:w="9360"/>
        <w:tblBorders>
          <w:top w:val="single" w:color="1E6B1E" w:sz="4"/>
          <w:left w:val="single" w:color="1E6B1E" w:sz="16"/>
          <w:bottom w:val="single" w:color="1E6B1E" w:sz="4"/>
          <w:right w:val="single" w:color="1E6B1E" w:sz="4"/>
          <w:insideH w:val="single" w:color="auto" w:sz="4"/>
          <w:insideV w:val="single" w:color="auto" w:sz="4"/>
        </w:tblBorders>
      </w:tblPr>
      <w:tblGrid>
        <w:gridCol w:w="9360"/>
      </w:tblGrid>
      <w:tr>
        <w:tc>
          <w:tcPr>
            <w:tcW w:type="dxa" w:w="9360"/>
            <w:shd w:fill="E7F3E8" w:val="clear"/>
            <w:tcMar>
              <w:top w:type="dxa" w:w="140"/>
              <w:left w:type="dxa" w:w="200"/>
              <w:bottom w:type="dxa" w:w="140"/>
              <w:right w:type="dxa" w:w="200"/>
            </w:tcMar>
          </w:tcPr>
          <w:p>
            <w:pPr>
              <w:spacing w:after="60"/>
            </w:pPr>
            <w:r>
              <w:rPr>
                <w:b/>
                <w:bCs/>
                <w:color w:val="1E6B1E"/>
              </w:rPr>
              <w:t xml:space="preserve">In Plain English — Summary for All Readers</w:t>
            </w:r>
          </w:p>
          <w:p>
            <w:pPr>
              <w:spacing w:after="0" w:line="270"/>
            </w:pPr>
            <w:r>
              <w:t xml:space="preserve">Based on 10 years of this programme's own claims history, brought up to date for today's costs and exposure, and combined with a statistical model of how often and how severely this layer is likely to be affected, the technical price for the $50 million excess of $50 million layer for the coming year is $18,342,477. This compares with $7,800,000 charged for the expiring year, an indicated increase of about 135%. The main reason for this increase is that the layer has been used three times in the last ten years — twice for its full amount — which is more frequent and more severe than the expiring premium appears to reflect. Because this conclusion rests on a small number of large events, it should be read together with the sensitivity results in Section 9 and the limitations in Section 12, rather than treated as a single precise figure. This is a technical indication only, produced under a fixed, auditable process with built-in controls (Section 11); the final commercial decision on this renewal remains with underwriting management.</w:t>
            </w:r>
          </w:p>
        </w:tc>
      </w:tr>
    </w:tbl>
    <w:p>
      <w:pPr>
        <w:spacing w:after="160" w:line="276"/>
      </w:pPr>
      <w:r>
        <w:t xml:space="preserve">This concludes the technical audit trail. All figures in this document are reproducible from the full tool call trace in Section 15, and this document has itself been checked, by the same automated controls described in Section 11, to confirm it contains no unapproved assumptions, no commercial recommendation, and no figure that cannot be traced back to a specific calculation.</w:t>
      </w:r>
    </w:p>
    <w:p>
      <w:r>
        <w:br w:type="page"/>
      </w:r>
    </w:p>
    <w:p>
      <w:pPr>
        <w:pStyle w:val="Heading1"/>
        <w:spacing w:after="160" w:before="360"/>
      </w:pPr>
      <w:r>
        <w:t xml:space="preserve">14. Peer-Review Sign-Off Checklist</w:t>
      </w:r>
    </w:p>
    <w:p>
      <w:pPr>
        <w:spacing w:after="160" w:line="276"/>
      </w:pPr>
      <w:r>
        <w:t xml:space="preserve">Before this analysis is relied upon, a qualified peer reviewer should confirm the following:</w:t>
      </w:r>
    </w:p>
    <w:p>
      <w:pPr>
        <w:pStyle w:val="ListParagraph"/>
        <w:numPr>
          <w:ilvl w:val="0"/>
          <w:numId w:val="2"/>
        </w:numPr>
        <w:spacing w:after="80"/>
      </w:pPr>
      <w:r>
        <w:t xml:space="preserve">Submission validation issues (Section 2.3) are disclosed here, not silently corrected.</w:t>
      </w:r>
    </w:p>
    <w:p>
      <w:pPr>
        <w:pStyle w:val="ListParagraph"/>
        <w:numPr>
          <w:ilvl w:val="0"/>
          <w:numId w:val="2"/>
        </w:numPr>
        <w:spacing w:after="80"/>
      </w:pPr>
      <w:r>
        <w:t xml:space="preserve">All trend, on-level, and credibility assumptions used (Sections 3, 6, 7) trace to the Approved Trend Assumptions document.</w:t>
      </w:r>
    </w:p>
    <w:p>
      <w:pPr>
        <w:pStyle w:val="ListParagraph"/>
        <w:numPr>
          <w:ilvl w:val="0"/>
          <w:numId w:val="2"/>
        </w:numPr>
        <w:spacing w:after="80"/>
      </w:pPr>
      <w:r>
        <w:t xml:space="preserve">Expense, capital and margin loads (Section 8.2) trace to the Expense and Capital Parameters document.</w:t>
      </w:r>
    </w:p>
    <w:p>
      <w:pPr>
        <w:pStyle w:val="ListParagraph"/>
        <w:numPr>
          <w:ilvl w:val="0"/>
          <w:numId w:val="2"/>
        </w:numPr>
        <w:spacing w:after="80"/>
      </w:pPr>
      <w:r>
        <w:t xml:space="preserve">Every numeric result in this document can be reproduced from the tool call trace in Section 15.</w:t>
      </w:r>
    </w:p>
    <w:p>
      <w:pPr>
        <w:pStyle w:val="ListParagraph"/>
        <w:numPr>
          <w:ilvl w:val="0"/>
          <w:numId w:val="2"/>
        </w:numPr>
        <w:spacing w:after="80"/>
      </w:pPr>
      <w:r>
        <w:t xml:space="preserve">This document clearly separates the technical price indication (Sections 1–10) from the commercial decision, which is intentionally left to underwriting management (Section 12.2).</w:t>
      </w:r>
    </w:p>
    <w:p>
      <w:pPr>
        <w:pStyle w:val="ListParagraph"/>
        <w:numPr>
          <w:ilvl w:val="0"/>
          <w:numId w:val="2"/>
        </w:numPr>
        <w:spacing w:after="80"/>
      </w:pPr>
      <w:r>
        <w:t xml:space="preserve">The large-loss sensitivity (Section 9) is labelled as a sensitivity only and has not been applied to the base case without sign-off.</w:t>
      </w:r>
    </w:p>
    <w:p>
      <w:pPr>
        <w:pStyle w:val="ListParagraph"/>
        <w:numPr>
          <w:ilvl w:val="0"/>
          <w:numId w:val="2"/>
        </w:numPr>
        <w:spacing w:after="80"/>
      </w:pPr>
      <w:r>
        <w:t xml:space="preserve">Sensitivities cover, at minimum, attachment, limit, trend and large-loss scenarios (Section 9) — confirmed.</w:t>
      </w:r>
    </w:p>
    <w:p>
      <w:pPr>
        <w:pStyle w:val="ListParagraph"/>
        <w:numPr>
          <w:ilvl w:val="0"/>
          <w:numId w:val="2"/>
        </w:numPr>
        <w:spacing w:after="80"/>
      </w:pPr>
      <w:r>
        <w:t xml:space="preserve">This document states the comparison to the expiring price (Section 10) without recommending a specific renewal price — confirmed.</w:t>
      </w:r>
    </w:p>
    <w:p>
      <w:pPr>
        <w:spacing w:after="200"/>
      </w:pP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5760"/>
      </w:tblGrid>
      <w:tr>
        <w:tc>
          <w:tcPr>
            <w:tcW w:type="dxa" w:w="3600"/>
            <w:shd w:fill="F2F2F2" w:val="clear"/>
            <w:tcMar>
              <w:top w:type="dxa" w:w="90"/>
              <w:left w:type="dxa" w:w="150"/>
              <w:bottom w:type="dxa" w:w="90"/>
              <w:right w:type="dxa" w:w="150"/>
            </w:tcMar>
            <w:vAlign w:val="center"/>
          </w:tcPr>
          <w:p>
            <w:r>
              <w:rPr>
                <w:b/>
                <w:bCs/>
              </w:rPr>
              <w:t xml:space="preserve">Peer reviewer name</w:t>
            </w:r>
          </w:p>
        </w:tc>
        <w:tc>
          <w:tcPr>
            <w:tcW w:type="dxa" w:w="5760"/>
            <w:tcMar>
              <w:top w:type="dxa" w:w="90"/>
              <w:left w:type="dxa" w:w="150"/>
              <w:bottom w:type="dxa" w:w="90"/>
              <w:right w:type="dxa" w:w="150"/>
            </w:tcMar>
            <w:vAlign w:val="center"/>
          </w:tcPr>
          <w:p>
            <w:r>
              <w:t xml:space="preserve">____________________________</w:t>
            </w:r>
          </w:p>
        </w:tc>
      </w:tr>
      <w:tr>
        <w:tc>
          <w:tcPr>
            <w:tcW w:type="dxa" w:w="3600"/>
            <w:shd w:fill="FFFFFF" w:val="clear"/>
            <w:tcMar>
              <w:top w:type="dxa" w:w="90"/>
              <w:left w:type="dxa" w:w="150"/>
              <w:bottom w:type="dxa" w:w="90"/>
              <w:right w:type="dxa" w:w="150"/>
            </w:tcMar>
            <w:vAlign w:val="center"/>
          </w:tcPr>
          <w:p>
            <w:r>
              <w:rPr>
                <w:b/>
                <w:bCs/>
              </w:rPr>
              <w:t xml:space="preserve">Date reviewed</w:t>
            </w:r>
          </w:p>
        </w:tc>
        <w:tc>
          <w:tcPr>
            <w:tcW w:type="dxa" w:w="5760"/>
            <w:tcMar>
              <w:top w:type="dxa" w:w="90"/>
              <w:left w:type="dxa" w:w="150"/>
              <w:bottom w:type="dxa" w:w="90"/>
              <w:right w:type="dxa" w:w="150"/>
            </w:tcMar>
            <w:vAlign w:val="center"/>
          </w:tcPr>
          <w:p>
            <w:r>
              <w:t xml:space="preserve">____________________________</w:t>
            </w:r>
          </w:p>
        </w:tc>
      </w:tr>
      <w:tr>
        <w:tc>
          <w:tcPr>
            <w:tcW w:type="dxa" w:w="3600"/>
            <w:shd w:fill="FFFFFF" w:val="clear"/>
            <w:tcMar>
              <w:top w:type="dxa" w:w="90"/>
              <w:left w:type="dxa" w:w="150"/>
              <w:bottom w:type="dxa" w:w="90"/>
              <w:right w:type="dxa" w:w="150"/>
            </w:tcMar>
            <w:vAlign w:val="center"/>
          </w:tcPr>
          <w:p>
            <w:r>
              <w:rPr>
                <w:b/>
                <w:bCs/>
              </w:rPr>
              <w:t xml:space="preserve">Sign-off</w:t>
            </w:r>
          </w:p>
        </w:tc>
        <w:tc>
          <w:tcPr>
            <w:tcW w:type="dxa" w:w="5760"/>
            <w:tcMar>
              <w:top w:type="dxa" w:w="90"/>
              <w:left w:type="dxa" w:w="150"/>
              <w:bottom w:type="dxa" w:w="90"/>
              <w:right w:type="dxa" w:w="150"/>
            </w:tcMar>
            <w:vAlign w:val="center"/>
          </w:tcPr>
          <w:p>
            <w:r>
              <w:t xml:space="preserve">____________________________</w:t>
            </w:r>
          </w:p>
        </w:tc>
      </w:tr>
    </w:tbl>
    <w:p>
      <w:r>
        <w:br w:type="page"/>
      </w:r>
    </w:p>
    <w:p>
      <w:pPr>
        <w:pStyle w:val="Heading1"/>
        <w:spacing w:after="160" w:before="360"/>
      </w:pPr>
      <w:r>
        <w:t xml:space="preserve">15. Glossary of Terms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6760"/>
      </w:tblGrid>
      <w:tr>
        <w:trPr>
          <w:tblHeader/>
        </w:trPr>
        <w:tc>
          <w:tcPr>
            <w:tcW w:type="dxa" w:w="2600"/>
            <w:shd w:fill="0E7C7B" w:val="clear"/>
            <w:tcMar>
              <w:top w:type="dxa" w:w="90"/>
              <w:left w:type="dxa" w:w="120"/>
              <w:bottom w:type="dxa" w:w="90"/>
              <w:right w:type="dxa" w:w="120"/>
            </w:tcMar>
            <w:vAlign w:val="center"/>
          </w:tcPr>
          <w:p>
            <w:pPr>
              <w:jc w:val="left"/>
            </w:pPr>
            <w:r>
              <w:rPr>
                <w:b/>
                <w:bCs/>
                <w:color w:val="FFFFFF"/>
              </w:rPr>
              <w:t xml:space="preserve">Term</w:t>
            </w:r>
          </w:p>
        </w:tc>
        <w:tc>
          <w:tcPr>
            <w:tcW w:type="dxa" w:w="6760"/>
            <w:shd w:fill="0E7C7B" w:val="clear"/>
            <w:tcMar>
              <w:top w:type="dxa" w:w="90"/>
              <w:left w:type="dxa" w:w="120"/>
              <w:bottom w:type="dxa" w:w="90"/>
              <w:right w:type="dxa" w:w="120"/>
            </w:tcMar>
            <w:vAlign w:val="center"/>
          </w:tcPr>
          <w:p>
            <w:pPr>
              <w:jc w:val="right"/>
            </w:pPr>
            <w:r>
              <w:rPr>
                <w:b/>
                <w:bCs/>
                <w:color w:val="FFFFFF"/>
              </w:rPr>
              <w:t xml:space="preserve">Plain-language meaning</w:t>
            </w:r>
          </w:p>
        </w:tc>
      </w:tr>
      <w:tr>
        <w:tc>
          <w:tcPr>
            <w:tcW w:type="dxa" w:w="2600"/>
            <w:shd w:fill="FFFFFF" w:val="clear"/>
            <w:tcMar>
              <w:top w:type="dxa" w:w="80"/>
              <w:left w:type="dxa" w:w="120"/>
              <w:bottom w:type="dxa" w:w="80"/>
              <w:right w:type="dxa" w:w="120"/>
            </w:tcMar>
            <w:vAlign w:val="center"/>
          </w:tcPr>
          <w:p>
            <w:pPr>
              <w:jc w:val="left"/>
            </w:pPr>
            <w:r>
              <w:t xml:space="preserve">Attachment point</w:t>
            </w:r>
          </w:p>
        </w:tc>
        <w:tc>
          <w:tcPr>
            <w:tcW w:type="dxa" w:w="6760"/>
            <w:shd w:fill="FFFFFF" w:val="clear"/>
            <w:tcMar>
              <w:top w:type="dxa" w:w="80"/>
              <w:left w:type="dxa" w:w="120"/>
              <w:bottom w:type="dxa" w:w="80"/>
              <w:right w:type="dxa" w:w="120"/>
            </w:tcMar>
            <w:vAlign w:val="center"/>
          </w:tcPr>
          <w:p>
            <w:pPr>
              <w:jc w:val="right"/>
            </w:pPr>
            <w:r>
              <w:t xml:space="preserve">The loss amount at which a reinsurance layer starts to pay. Losses below this amount are the cedant's own responsibility.</w:t>
            </w:r>
          </w:p>
        </w:tc>
      </w:tr>
      <w:tr>
        <w:tc>
          <w:tcPr>
            <w:tcW w:type="dxa" w:w="2600"/>
            <w:shd w:fill="F2F2F2" w:val="clear"/>
            <w:tcMar>
              <w:top w:type="dxa" w:w="80"/>
              <w:left w:type="dxa" w:w="120"/>
              <w:bottom w:type="dxa" w:w="80"/>
              <w:right w:type="dxa" w:w="120"/>
            </w:tcMar>
            <w:vAlign w:val="center"/>
          </w:tcPr>
          <w:p>
            <w:pPr>
              <w:jc w:val="left"/>
            </w:pPr>
            <w:r>
              <w:t xml:space="preserve">Limit</w:t>
            </w:r>
          </w:p>
        </w:tc>
        <w:tc>
          <w:tcPr>
            <w:tcW w:type="dxa" w:w="6760"/>
            <w:shd w:fill="F2F2F2" w:val="clear"/>
            <w:tcMar>
              <w:top w:type="dxa" w:w="80"/>
              <w:left w:type="dxa" w:w="120"/>
              <w:bottom w:type="dxa" w:w="80"/>
              <w:right w:type="dxa" w:w="120"/>
            </w:tcMar>
            <w:vAlign w:val="center"/>
          </w:tcPr>
          <w:p>
            <w:pPr>
              <w:jc w:val="right"/>
            </w:pPr>
            <w:r>
              <w:t xml:space="preserve">The maximum amount a layer will pay on a single event.</w:t>
            </w:r>
          </w:p>
        </w:tc>
      </w:tr>
      <w:tr>
        <w:tc>
          <w:tcPr>
            <w:tcW w:type="dxa" w:w="2600"/>
            <w:shd w:fill="FFFFFF" w:val="clear"/>
            <w:tcMar>
              <w:top w:type="dxa" w:w="80"/>
              <w:left w:type="dxa" w:w="120"/>
              <w:bottom w:type="dxa" w:w="80"/>
              <w:right w:type="dxa" w:w="120"/>
            </w:tcMar>
            <w:vAlign w:val="center"/>
          </w:tcPr>
          <w:p>
            <w:pPr>
              <w:jc w:val="left"/>
            </w:pPr>
            <w:r>
              <w:t xml:space="preserve">Reinstatement</w:t>
            </w:r>
          </w:p>
        </w:tc>
        <w:tc>
          <w:tcPr>
            <w:tcW w:type="dxa" w:w="6760"/>
            <w:shd w:fill="FFFFFF" w:val="clear"/>
            <w:tcMar>
              <w:top w:type="dxa" w:w="80"/>
              <w:left w:type="dxa" w:w="120"/>
              <w:bottom w:type="dxa" w:w="80"/>
              <w:right w:type="dxa" w:w="120"/>
            </w:tcMar>
            <w:vAlign w:val="center"/>
          </w:tcPr>
          <w:p>
            <w:pPr>
              <w:jc w:val="right"/>
            </w:pPr>
            <w:r>
              <w:t xml:space="preserve">The right to “refill” the layer after it has paid a loss, so it can respond again within the same year, usually for an additional premium.</w:t>
            </w:r>
          </w:p>
        </w:tc>
      </w:tr>
      <w:tr>
        <w:tc>
          <w:tcPr>
            <w:tcW w:type="dxa" w:w="2600"/>
            <w:shd w:fill="F2F2F2" w:val="clear"/>
            <w:tcMar>
              <w:top w:type="dxa" w:w="80"/>
              <w:left w:type="dxa" w:w="120"/>
              <w:bottom w:type="dxa" w:w="80"/>
              <w:right w:type="dxa" w:w="120"/>
            </w:tcMar>
            <w:vAlign w:val="center"/>
          </w:tcPr>
          <w:p>
            <w:pPr>
              <w:jc w:val="left"/>
            </w:pPr>
            <w:r>
              <w:t xml:space="preserve">Layer / Excess-of-Loss (XL)</w:t>
            </w:r>
          </w:p>
        </w:tc>
        <w:tc>
          <w:tcPr>
            <w:tcW w:type="dxa" w:w="6760"/>
            <w:shd w:fill="F2F2F2" w:val="clear"/>
            <w:tcMar>
              <w:top w:type="dxa" w:w="80"/>
              <w:left w:type="dxa" w:w="120"/>
              <w:bottom w:type="dxa" w:w="80"/>
              <w:right w:type="dxa" w:w="120"/>
            </w:tcMar>
            <w:vAlign w:val="center"/>
          </w:tcPr>
          <w:p>
            <w:pPr>
              <w:jc w:val="right"/>
            </w:pPr>
            <w:r>
              <w:t xml:space="preserve">A slice of risk defined by an attachment point and a limit, e.g. “$50m excess of $50m” covers losses between $50m and $100m.</w:t>
            </w:r>
          </w:p>
        </w:tc>
      </w:tr>
      <w:tr>
        <w:tc>
          <w:tcPr>
            <w:tcW w:type="dxa" w:w="2600"/>
            <w:shd w:fill="FFFFFF" w:val="clear"/>
            <w:tcMar>
              <w:top w:type="dxa" w:w="80"/>
              <w:left w:type="dxa" w:w="120"/>
              <w:bottom w:type="dxa" w:w="80"/>
              <w:right w:type="dxa" w:w="120"/>
            </w:tcMar>
            <w:vAlign w:val="center"/>
          </w:tcPr>
          <w:p>
            <w:pPr>
              <w:jc w:val="left"/>
            </w:pPr>
            <w:r>
              <w:t xml:space="preserve">Trend / Trending</w:t>
            </w:r>
          </w:p>
        </w:tc>
        <w:tc>
          <w:tcPr>
            <w:tcW w:type="dxa" w:w="6760"/>
            <w:shd w:fill="FFFFFF" w:val="clear"/>
            <w:tcMar>
              <w:top w:type="dxa" w:w="80"/>
              <w:left w:type="dxa" w:w="120"/>
              <w:bottom w:type="dxa" w:w="80"/>
              <w:right w:type="dxa" w:w="120"/>
            </w:tcMar>
            <w:vAlign w:val="center"/>
          </w:tcPr>
          <w:p>
            <w:pPr>
              <w:jc w:val="right"/>
            </w:pPr>
            <w:r>
              <w:t xml:space="preserve">Adjusting historical figures (like losses) upward to reflect inflation and growth between the year they occurred and today.</w:t>
            </w:r>
          </w:p>
        </w:tc>
      </w:tr>
      <w:tr>
        <w:tc>
          <w:tcPr>
            <w:tcW w:type="dxa" w:w="2600"/>
            <w:shd w:fill="F2F2F2" w:val="clear"/>
            <w:tcMar>
              <w:top w:type="dxa" w:w="80"/>
              <w:left w:type="dxa" w:w="120"/>
              <w:bottom w:type="dxa" w:w="80"/>
              <w:right w:type="dxa" w:w="120"/>
            </w:tcMar>
            <w:vAlign w:val="center"/>
          </w:tcPr>
          <w:p>
            <w:pPr>
              <w:jc w:val="left"/>
            </w:pPr>
            <w:r>
              <w:t xml:space="preserve">On-level / On-levelling</w:t>
            </w:r>
          </w:p>
        </w:tc>
        <w:tc>
          <w:tcPr>
            <w:tcW w:type="dxa" w:w="6760"/>
            <w:shd w:fill="F2F2F2" w:val="clear"/>
            <w:tcMar>
              <w:top w:type="dxa" w:w="80"/>
              <w:left w:type="dxa" w:w="120"/>
              <w:bottom w:type="dxa" w:w="80"/>
              <w:right w:type="dxa" w:w="120"/>
            </w:tcMar>
            <w:vAlign w:val="center"/>
          </w:tcPr>
          <w:p>
            <w:pPr>
              <w:jc w:val="right"/>
            </w:pPr>
            <w:r>
              <w:t xml:space="preserve">Adjusting historical premium so it reflects today's amount of insured property, allowing fair year-to-year comparison.</w:t>
            </w:r>
          </w:p>
        </w:tc>
      </w:tr>
      <w:tr>
        <w:tc>
          <w:tcPr>
            <w:tcW w:type="dxa" w:w="2600"/>
            <w:shd w:fill="FFFFFF" w:val="clear"/>
            <w:tcMar>
              <w:top w:type="dxa" w:w="80"/>
              <w:left w:type="dxa" w:w="120"/>
              <w:bottom w:type="dxa" w:w="80"/>
              <w:right w:type="dxa" w:w="120"/>
            </w:tcMar>
            <w:vAlign w:val="center"/>
          </w:tcPr>
          <w:p>
            <w:pPr>
              <w:jc w:val="left"/>
            </w:pPr>
            <w:r>
              <w:t xml:space="preserve">TIV (Total Insured Value)</w:t>
            </w:r>
          </w:p>
        </w:tc>
        <w:tc>
          <w:tcPr>
            <w:tcW w:type="dxa" w:w="6760"/>
            <w:shd w:fill="FFFFFF" w:val="clear"/>
            <w:tcMar>
              <w:top w:type="dxa" w:w="80"/>
              <w:left w:type="dxa" w:w="120"/>
              <w:bottom w:type="dxa" w:w="80"/>
              <w:right w:type="dxa" w:w="120"/>
            </w:tcMar>
            <w:vAlign w:val="center"/>
          </w:tcPr>
          <w:p>
            <w:pPr>
              <w:jc w:val="right"/>
            </w:pPr>
            <w:r>
              <w:t xml:space="preserve">The total value of the property covered by the policy or programme in a given year.</w:t>
            </w:r>
          </w:p>
        </w:tc>
      </w:tr>
      <w:tr>
        <w:tc>
          <w:tcPr>
            <w:tcW w:type="dxa" w:w="2600"/>
            <w:shd w:fill="F2F2F2" w:val="clear"/>
            <w:tcMar>
              <w:top w:type="dxa" w:w="80"/>
              <w:left w:type="dxa" w:w="120"/>
              <w:bottom w:type="dxa" w:w="80"/>
              <w:right w:type="dxa" w:w="120"/>
            </w:tcMar>
            <w:vAlign w:val="center"/>
          </w:tcPr>
          <w:p>
            <w:pPr>
              <w:jc w:val="left"/>
            </w:pPr>
            <w:r>
              <w:t xml:space="preserve">Burning cost</w:t>
            </w:r>
          </w:p>
        </w:tc>
        <w:tc>
          <w:tcPr>
            <w:tcW w:type="dxa" w:w="6760"/>
            <w:shd w:fill="F2F2F2" w:val="clear"/>
            <w:tcMar>
              <w:top w:type="dxa" w:w="80"/>
              <w:left w:type="dxa" w:w="120"/>
              <w:bottom w:type="dxa" w:w="80"/>
              <w:right w:type="dxa" w:w="120"/>
            </w:tcMar>
            <w:vAlign w:val="center"/>
          </w:tcPr>
          <w:p>
            <w:pPr>
              <w:jc w:val="right"/>
            </w:pPr>
            <w:r>
              <w:t xml:space="preserve">Actual historical losses to a layer, divided by premium, used as a direct experience-based indication of adequate pricing.</w:t>
            </w:r>
          </w:p>
        </w:tc>
      </w:tr>
      <w:tr>
        <w:tc>
          <w:tcPr>
            <w:tcW w:type="dxa" w:w="2600"/>
            <w:shd w:fill="FFFFFF" w:val="clear"/>
            <w:tcMar>
              <w:top w:type="dxa" w:w="80"/>
              <w:left w:type="dxa" w:w="120"/>
              <w:bottom w:type="dxa" w:w="80"/>
              <w:right w:type="dxa" w:w="120"/>
            </w:tcMar>
            <w:vAlign w:val="center"/>
          </w:tcPr>
          <w:p>
            <w:pPr>
              <w:jc w:val="left"/>
            </w:pPr>
            <w:r>
              <w:t xml:space="preserve">Frequency</w:t>
            </w:r>
          </w:p>
        </w:tc>
        <w:tc>
          <w:tcPr>
            <w:tcW w:type="dxa" w:w="6760"/>
            <w:shd w:fill="FFFFFF" w:val="clear"/>
            <w:tcMar>
              <w:top w:type="dxa" w:w="80"/>
              <w:left w:type="dxa" w:w="120"/>
              <w:bottom w:type="dxa" w:w="80"/>
              <w:right w:type="dxa" w:w="120"/>
            </w:tcMar>
            <w:vAlign w:val="center"/>
          </w:tcPr>
          <w:p>
            <w:pPr>
              <w:jc w:val="right"/>
            </w:pPr>
            <w:r>
              <w:t xml:space="preserve">How often a layer is expected to be hit by a loss, typically expressed as an average number of events per year.</w:t>
            </w:r>
          </w:p>
        </w:tc>
      </w:tr>
      <w:tr>
        <w:tc>
          <w:tcPr>
            <w:tcW w:type="dxa" w:w="2600"/>
            <w:shd w:fill="F2F2F2" w:val="clear"/>
            <w:tcMar>
              <w:top w:type="dxa" w:w="80"/>
              <w:left w:type="dxa" w:w="120"/>
              <w:bottom w:type="dxa" w:w="80"/>
              <w:right w:type="dxa" w:w="120"/>
            </w:tcMar>
            <w:vAlign w:val="center"/>
          </w:tcPr>
          <w:p>
            <w:pPr>
              <w:jc w:val="left"/>
            </w:pPr>
            <w:r>
              <w:t xml:space="preserve">Severity</w:t>
            </w:r>
          </w:p>
        </w:tc>
        <w:tc>
          <w:tcPr>
            <w:tcW w:type="dxa" w:w="6760"/>
            <w:shd w:fill="F2F2F2" w:val="clear"/>
            <w:tcMar>
              <w:top w:type="dxa" w:w="80"/>
              <w:left w:type="dxa" w:w="120"/>
              <w:bottom w:type="dxa" w:w="80"/>
              <w:right w:type="dxa" w:w="120"/>
            </w:tcMar>
            <w:vAlign w:val="center"/>
          </w:tcPr>
          <w:p>
            <w:pPr>
              <w:jc w:val="right"/>
            </w:pPr>
            <w:r>
              <w:t xml:space="preserve">How large a loss is expected to be, given that one occurs.</w:t>
            </w:r>
          </w:p>
        </w:tc>
      </w:tr>
      <w:tr>
        <w:tc>
          <w:tcPr>
            <w:tcW w:type="dxa" w:w="2600"/>
            <w:shd w:fill="FFFFFF" w:val="clear"/>
            <w:tcMar>
              <w:top w:type="dxa" w:w="80"/>
              <w:left w:type="dxa" w:w="120"/>
              <w:bottom w:type="dxa" w:w="80"/>
              <w:right w:type="dxa" w:w="120"/>
            </w:tcMar>
            <w:vAlign w:val="center"/>
          </w:tcPr>
          <w:p>
            <w:pPr>
              <w:jc w:val="left"/>
            </w:pPr>
            <w:r>
              <w:t xml:space="preserve">Credibility</w:t>
            </w:r>
          </w:p>
        </w:tc>
        <w:tc>
          <w:tcPr>
            <w:tcW w:type="dxa" w:w="6760"/>
            <w:shd w:fill="FFFFFF" w:val="clear"/>
            <w:tcMar>
              <w:top w:type="dxa" w:w="80"/>
              <w:left w:type="dxa" w:w="120"/>
              <w:bottom w:type="dxa" w:w="80"/>
              <w:right w:type="dxa" w:w="120"/>
            </w:tcMar>
            <w:vAlign w:val="center"/>
          </w:tcPr>
          <w:p>
            <w:pPr>
              <w:jc w:val="right"/>
            </w:pPr>
            <w:r>
              <w:t xml:space="preserve">A weighting (from 0 to 1) reflecting how much confidence can be placed in a cedant's own claims history, based on the volume of data available; more data means more weight on actual experience.</w:t>
            </w:r>
          </w:p>
        </w:tc>
      </w:tr>
      <w:tr>
        <w:tc>
          <w:tcPr>
            <w:tcW w:type="dxa" w:w="2600"/>
            <w:shd w:fill="F2F2F2" w:val="clear"/>
            <w:tcMar>
              <w:top w:type="dxa" w:w="80"/>
              <w:left w:type="dxa" w:w="120"/>
              <w:bottom w:type="dxa" w:w="80"/>
              <w:right w:type="dxa" w:w="120"/>
            </w:tcMar>
            <w:vAlign w:val="center"/>
          </w:tcPr>
          <w:p>
            <w:pPr>
              <w:jc w:val="left"/>
            </w:pPr>
            <w:r>
              <w:t xml:space="preserve">Technical price</w:t>
            </w:r>
          </w:p>
        </w:tc>
        <w:tc>
          <w:tcPr>
            <w:tcW w:type="dxa" w:w="6760"/>
            <w:shd w:fill="F2F2F2" w:val="clear"/>
            <w:tcMar>
              <w:top w:type="dxa" w:w="80"/>
              <w:left w:type="dxa" w:w="120"/>
              <w:bottom w:type="dxa" w:w="80"/>
              <w:right w:type="dxa" w:w="120"/>
            </w:tcMar>
            <w:vAlign w:val="center"/>
          </w:tcPr>
          <w:p>
            <w:pPr>
              <w:jc w:val="right"/>
            </w:pPr>
            <w:r>
              <w:t xml:space="preserve">The premium indicated by pure calculation — expected losses, plus expenses, cost of capital, and a target margin — before any commercial judgment or negotiation is applied.</w:t>
            </w:r>
          </w:p>
        </w:tc>
      </w:tr>
      <w:tr>
        <w:tc>
          <w:tcPr>
            <w:tcW w:type="dxa" w:w="2600"/>
            <w:shd w:fill="FFFFFF" w:val="clear"/>
            <w:tcMar>
              <w:top w:type="dxa" w:w="80"/>
              <w:left w:type="dxa" w:w="120"/>
              <w:bottom w:type="dxa" w:w="80"/>
              <w:right w:type="dxa" w:w="120"/>
            </w:tcMar>
            <w:vAlign w:val="center"/>
          </w:tcPr>
          <w:p>
            <w:pPr>
              <w:jc w:val="left"/>
            </w:pPr>
            <w:r>
              <w:t xml:space="preserve">Cost of capital</w:t>
            </w:r>
          </w:p>
        </w:tc>
        <w:tc>
          <w:tcPr>
            <w:tcW w:type="dxa" w:w="6760"/>
            <w:shd w:fill="FFFFFF" w:val="clear"/>
            <w:tcMar>
              <w:top w:type="dxa" w:w="80"/>
              <w:left w:type="dxa" w:w="120"/>
              <w:bottom w:type="dxa" w:w="80"/>
              <w:right w:type="dxa" w:w="120"/>
            </w:tcMar>
            <w:vAlign w:val="center"/>
          </w:tcPr>
          <w:p>
            <w:pPr>
              <w:jc w:val="right"/>
            </w:pPr>
            <w:r>
              <w:t xml:space="preserve">The return required on the capital that must be set aside to support the risk of a very large loss on this layer.</w:t>
            </w:r>
          </w:p>
        </w:tc>
      </w:tr>
      <w:tr>
        <w:tc>
          <w:tcPr>
            <w:tcW w:type="dxa" w:w="2600"/>
            <w:shd w:fill="F2F2F2" w:val="clear"/>
            <w:tcMar>
              <w:top w:type="dxa" w:w="80"/>
              <w:left w:type="dxa" w:w="120"/>
              <w:bottom w:type="dxa" w:w="80"/>
              <w:right w:type="dxa" w:w="120"/>
            </w:tcMar>
            <w:vAlign w:val="center"/>
          </w:tcPr>
          <w:p>
            <w:pPr>
              <w:jc w:val="left"/>
            </w:pPr>
            <w:r>
              <w:t xml:space="preserve">Rate change</w:t>
            </w:r>
          </w:p>
        </w:tc>
        <w:tc>
          <w:tcPr>
            <w:tcW w:type="dxa" w:w="6760"/>
            <w:shd w:fill="F2F2F2" w:val="clear"/>
            <w:tcMar>
              <w:top w:type="dxa" w:w="80"/>
              <w:left w:type="dxa" w:w="120"/>
              <w:bottom w:type="dxa" w:w="80"/>
              <w:right w:type="dxa" w:w="120"/>
            </w:tcMar>
            <w:vAlign w:val="center"/>
          </w:tcPr>
          <w:p>
            <w:pPr>
              <w:jc w:val="right"/>
            </w:pPr>
            <w:r>
              <w:t xml:space="preserve">The percentage difference between this year's indicated or actual price and last year's, expressed as a percentage increase or decrease.</w:t>
            </w:r>
          </w:p>
        </w:tc>
      </w:tr>
    </w:tbl>
    <w:p>
      <w:r>
        <w:br w:type="page"/>
      </w:r>
    </w:p>
    <w:p>
      <w:pPr>
        <w:pStyle w:val="Heading1"/>
        <w:spacing w:after="160" w:before="360"/>
      </w:pPr>
      <w:r>
        <w:t xml:space="preserve">16. Appendix — Full Governed Tool Call Trace</w:t>
      </w:r>
    </w:p>
    <w:tbl>
      <w:tblPr>
        <w:tblW w:type="dxa" w:w="9360"/>
        <w:tblBorders>
          <w:top w:val="single" w:color="1F3864" w:sz="4"/>
          <w:left w:val="single" w:color="1F3864" w:sz="16"/>
          <w:bottom w:val="single" w:color="1F3864" w:sz="4"/>
          <w:right w:val="single" w:color="1F3864" w:sz="4"/>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1F3864"/>
              </w:rPr>
              <w:t xml:space="preserve">In Plain English</w:t>
            </w:r>
          </w:p>
          <w:p>
            <w:pPr>
              <w:spacing w:after="0" w:line="270"/>
            </w:pPr>
            <w:r>
              <w:t xml:space="preserve">This appendix is aimed mainly at the actuarial reviewer. It lists, in order, every single automated calculation step the agent ran to produce this document — which tool was called, what was fed into it, and what it returned. Every figure quoted anywhere in this document can be found somewhere in this list. Sensitivity scenarios (Section 9) reran the same steps with one input changed at a time, which is why several tools appear more than once below.</w:t>
            </w:r>
          </w:p>
        </w:tc>
      </w:tr>
    </w:tbl>
    <w:p>
      <w:pPr>
        <w:pStyle w:val="Heading3"/>
        <w:spacing w:after="100" w:before="200"/>
      </w:pPr>
      <w:r>
        <w:t xml:space="preserve">Step 1 — validate_pricing_submission</w:t>
      </w:r>
    </w:p>
    <w:p>
      <w:pPr>
        <w:spacing w:after="60"/>
      </w:pPr>
      <w:r>
        <w:rPr>
          <w:b/>
          <w:bCs/>
        </w:rPr>
        <w:t xml:space="preserve">Inputs: </w:t>
      </w:r>
      <w:r>
        <w:rPr>
          <w:rFonts w:ascii="Consolas" w:cs="Consolas" w:eastAsia="Consolas" w:hAnsi="Consolas"/>
          <w:sz w:val="18"/>
          <w:szCs w:val="18"/>
        </w:rPr>
        <w:t xml:space="preserve">({'cedant_name': 'Example Mutual Insurance Co.', 'peril': 'wind', 'current_year': 2027, 'treaty_terms': {'attachment': 50000000, 'limit': 50000000, 'reinstatements': 1, 'reinstatement_cost_pct': 1.0}, 'expiring_technical_premium': 7800000, 'tiv_by_year': {2017: 8200000000, 2018: 8500000000, 2019: 8900000000, 2020: 9300000000, 2021: 9800000000, 2022: 10400000000, 2023: 11000000000, 2024: 11700000000, 2025: 12300000000, 2026: 12900000000, 2027: 13500000000}, 'premium_by_year': {2017: 5400000, 2018: 5600000, 2019: 5900000, 2020: 6100000, 2021: 6400000, 2022: 6800000, 2023: 7100000, 2024: 7400000, 2025: 7700000, 2026: 8000000}, 'losses_by_year': {2017: [{'event': 'Hurricane A', 'amount': 20000000}], 2018: [], 2019: [{'event': 'Windstorm B', 'amount': 65000000}], 2020: [], 2021: [{'event': 'Hurricane C', 'amount': 110000000}], 2022: [], 2023: [{'event': 'Windstorm D', 'amount': 15000000}], 2024: [], 2025: [{'event': 'Hurricane E', 'amount': 78000000}], 2026: [{'event': 'Windstorm F', 'amount': 5000000}]}},)</w:t>
      </w:r>
    </w:p>
    <w:p>
      <w:pPr>
        <w:spacing w:after="200"/>
      </w:pPr>
      <w:r>
        <w:rPr>
          <w:b/>
          <w:bCs/>
        </w:rPr>
        <w:t xml:space="preserve">Outputs: </w:t>
      </w:r>
      <w:r>
        <w:rPr>
          <w:rFonts w:ascii="Consolas" w:cs="Consolas" w:eastAsia="Consolas" w:hAnsi="Consolas"/>
          <w:sz w:val="18"/>
          <w:szCs w:val="18"/>
        </w:rPr>
        <w:t xml:space="preserve">{'status': 'PASS_WITH_FLAGS', 'years_supplied': [2017, 2018, 2019, 2020, 2021, 2022, 2023, 2024, 2025, 2026, 2027], 'n_years': 11, 'issues': ['Missing premium for year 2027.'], 'data_limitation_flag': False}</w:t>
      </w:r>
    </w:p>
    <w:p>
      <w:pPr>
        <w:pStyle w:val="Heading3"/>
        <w:spacing w:after="100" w:before="200"/>
      </w:pPr>
      <w:r>
        <w:t xml:space="preserve">Step 2 — trend_and_onlevel_claims</w:t>
      </w:r>
    </w:p>
    <w:p>
      <w:pPr>
        <w:spacing w:after="60"/>
      </w:pPr>
      <w:r>
        <w:rPr>
          <w:b/>
          <w:bCs/>
        </w:rPr>
        <w:t xml:space="preserve">Inputs: </w:t>
      </w:r>
      <w:r>
        <w:rPr>
          <w:rFonts w:ascii="Consolas" w:cs="Consolas" w:eastAsia="Consolas" w:hAnsi="Consolas"/>
          <w:sz w:val="18"/>
          <w:szCs w:val="18"/>
        </w:rPr>
        <w:t xml:space="preserve">{'losses_by_year': {2017: [{'event': 'Hurricane A', 'amount': 20000000}], 2018: [], 2019: [{'event': 'Windstorm B', 'amount': 65000000}], 2020: [], 2021: [{'event': 'Hurricane C', 'amount': 110000000}], 2022: [], 2023: [{'event': 'Windstorm D', 'amount': 15000000}], 2024: [], 2025: [{'event': 'Hurricane E', 'amount': 78000000}], 2026: [{'event': 'Windstorm F', 'amount': 5000000}]}, 'premium_by_year': {2017: 5400000, 2018: 5600000, 2019: 5900000, 2020: 6100000, 2021: 6400000, 2022: 6800000, 2023: 7100000, 2024: 7400000, 2025: 7700000, 2026: 8000000}, 'tiv_by_year': {2017: 8200000000, 2018: 8500000000, 2019: 8900000000, 2020: 9300000000, 2021: 9800000000, 2022: 10400000000, 2023: 11000000000, 2024: 11700000000, 2025: 12300000000, 2026: 12900000000, 2027: 13500000000}, 'current_year': 2027, 'peril': 'wind'}</w:t>
      </w:r>
    </w:p>
    <w:p>
      <w:pPr>
        <w:spacing w:after="200"/>
      </w:pPr>
      <w:r>
        <w:rPr>
          <w:b/>
          <w:bCs/>
        </w:rPr>
        <w:t xml:space="preserve">Outputs: </w:t>
      </w:r>
      <w:r>
        <w:rPr>
          <w:rFonts w:ascii="Consolas" w:cs="Consolas" w:eastAsia="Consolas" w:hAnsi="Consolas"/>
          <w:sz w:val="18"/>
          <w:szCs w:val="18"/>
        </w:rPr>
        <w:t xml:space="preserve">{'peril': 'wind', 'loss_trend_used': 0.06, 'tiv_trend_used': 0.04, 'trended_events_by_year': {2017: [{'event': 'Hurricane A', 'amount': 20000000, 'trended_amount': 35816953.93}], 2018: [], 2019: [{'event': 'Windstorm B', 'amount': 65000000, 'trended_amount': 103600124.84}], 2020: [], 2021: [{'event': 'Hurricane C', 'amount': 110000000, 'trended_amount': 156037102.35}], 2022: [], 2023: [{'event': 'Windstorm D', 'amount': 15000000, 'trended_amount': 18937154.4}], 2024: [], 2025: [{'event': 'Hurricane E', 'amount': 78000000, 'trended_amount': 87640800.0}], 2026: [{'event': 'Windstorm F', 'amount': 5000000, 'trended_amount': 5300000.0}]}, 'onlevel_premium_by_year': {2017: 8890243.9, 2018: 8894117.65, 2019: 8949438.2, 2020: 8854838.71, 2021: 8816326.53, 2022: 8826923.08, 2023: 8713636.36, 2024: 8538461.54, 2025: 8451219.51, 2026: 8372093.02}}</w:t>
      </w:r>
    </w:p>
    <w:p>
      <w:pPr>
        <w:pStyle w:val="Heading3"/>
        <w:spacing w:after="100" w:before="200"/>
      </w:pPr>
      <w:r>
        <w:t xml:space="preserve">Step 3 — apply_treaty_structure_to_losses</w:t>
      </w:r>
    </w:p>
    <w:p>
      <w:pPr>
        <w:spacing w:after="60"/>
      </w:pPr>
      <w:r>
        <w:rPr>
          <w:b/>
          <w:bCs/>
        </w:rPr>
        <w:t xml:space="preserve">Inputs: </w:t>
      </w:r>
      <w:r>
        <w:rPr>
          <w:rFonts w:ascii="Consolas" w:cs="Consolas" w:eastAsia="Consolas" w:hAnsi="Consolas"/>
          <w:sz w:val="18"/>
          <w:szCs w:val="18"/>
        </w:rPr>
        <w:t xml:space="preserve">({2017: [{'event': 'Hurricane A', 'amount': 20000000, 'trended_amount': 35816953.93}], 2018: [], 2019: [{'event': 'Windstorm B', 'amount': 65000000, 'trended_amount': 103600124.84}], 2020: [], 2021: [{'event': 'Hurricane C', 'amount': 110000000, 'trended_amount': 156037102.35}], 2022: [], 2023: [{'event': 'Windstorm D', 'amount': 15000000, 'trended_amount': 18937154.4}], 2024: [], 2025: [{'event': 'Hurricane E', 'amount': 78000000, 'trended_amount': 87640800.0}], 2026: [{'event': 'Windstorm F', 'amount': 5000000, 'trended_amount': 5300000.0}]}, {'attachment': 50000000, 'limit': 50000000, 'reinstatements': 1, 'reinstatement_cost_pct': 1.0})</w:t>
      </w:r>
    </w:p>
    <w:p>
      <w:pPr>
        <w:spacing w:after="200"/>
      </w:pPr>
      <w:r>
        <w:rPr>
          <w:b/>
          <w:bCs/>
        </w:rPr>
        <w:t xml:space="preserve">Outputs: </w:t>
      </w:r>
      <w:r>
        <w:rPr>
          <w:rFonts w:ascii="Consolas" w:cs="Consolas" w:eastAsia="Consolas" w:hAnsi="Consolas"/>
          <w:sz w:val="18"/>
          <w:szCs w:val="18"/>
        </w:rPr>
        <w:t xml:space="preserve">{'attachment': 50000000, 'limit': 50000000, 'reinstatements': 1, 'annual_aggregate_limit': 100000000, 'losses_to_layer_by_year': {2017: 0.0, 2018: 0.0, 2019: 50000000.0, 2020: 0.0, 2021: 50000000.0, 2022: 0.0, 2023: 0.0, 2024: 0.0, 2025: 37640800.0, 2026: 0.0}, 'event_detail_by_year': {2017: [{'event': 'Hurricane A', 'amount': 20000000, 'trended_amount': 35816953.93, 'loss_to_layer': 0.0}], 2018: [], 2019: [{'event': 'Windstorm B', 'amount': 65000000, 'trended_amount': 103600124.84, 'loss_to_layer': 50000000}], 2020: [], 2021: [{'event': 'Hurricane C', 'amount': 110000000, 'trended_amount': 156037102.35, 'loss_to_layer': 50000000}], 2022: [], 2023: [{'event': 'Windstorm D', 'amount': 15000000, 'trended_amount': 18937154.4, 'loss_to_layer': 0.0}], 2024: [], 2025: [{'event': 'Hurricane E', 'amount': 78000000, 'trended_amount': 87640800.0, 'loss_to_layer': 37640800.0}], 2026: [{'event': 'Windstorm F', 'amount': 5000000, 'trended_amount': 5300000.0, 'loss_to_layer': 0.0}]}}</w:t>
      </w:r>
    </w:p>
    <w:p>
      <w:pPr>
        <w:pStyle w:val="Heading3"/>
        <w:spacing w:after="100" w:before="200"/>
      </w:pPr>
      <w:r>
        <w:t xml:space="preserve">Step 4 — calculate_burning_cost</w:t>
      </w:r>
    </w:p>
    <w:p>
      <w:pPr>
        <w:spacing w:after="60"/>
      </w:pPr>
      <w:r>
        <w:rPr>
          <w:b/>
          <w:bCs/>
        </w:rPr>
        <w:t xml:space="preserve">Inputs: </w:t>
      </w:r>
      <w:r>
        <w:rPr>
          <w:rFonts w:ascii="Consolas" w:cs="Consolas" w:eastAsia="Consolas" w:hAnsi="Consolas"/>
          <w:sz w:val="18"/>
          <w:szCs w:val="18"/>
        </w:rPr>
        <w:t xml:space="preserve">({2017: 0.0, 2018: 0.0, 2019: 50000000.0, 2020: 0.0, 2021: 50000000.0, 2022: 0.0, 2023: 0.0, 2024: 0.0, 2025: 37640800.0, 2026: 0.0}, {2017: 8890243.9, 2018: 8894117.65, 2019: 8949438.2, 2020: 8854838.71, 2021: 8816326.53, 2022: 8826923.08, 2023: 8713636.36, 2024: 8538461.54, 2025: 8451219.51, 2026: 8372093.02})</w:t>
      </w:r>
    </w:p>
    <w:p>
      <w:pPr>
        <w:spacing w:after="200"/>
      </w:pPr>
      <w:r>
        <w:rPr>
          <w:b/>
          <w:bCs/>
        </w:rPr>
        <w:t xml:space="preserve">Outputs: </w:t>
      </w:r>
      <w:r>
        <w:rPr>
          <w:rFonts w:ascii="Consolas" w:cs="Consolas" w:eastAsia="Consolas" w:hAnsi="Consolas"/>
          <w:sz w:val="18"/>
          <w:szCs w:val="18"/>
        </w:rPr>
        <w:t xml:space="preserve">{'years_used': [2017, 2018, 2019, 2020, 2021, 2022, 2023, 2024, 2025, 2026], 'annual_burning_cost_ratio': {2017: 0.0, 2018: 0.0, 2019: 5.5869, 2020: 0.0, 2021: 5.6713, 2022: 0.0, 2023: 0.0, 2024: 0.0, 2025: 4.4539, 2026: 0.0}, 'simple_average_burning_cost': 1.5712, 'premium_weighted_average_burning_cost': 1.5765, 'burning_cost_std_dev': 2.4192, 'experience_indication_premium_basis': 13198604.65}</w:t>
      </w:r>
    </w:p>
    <w:p>
      <w:pPr>
        <w:pStyle w:val="Heading3"/>
        <w:spacing w:after="100" w:before="200"/>
      </w:pPr>
      <w:r>
        <w:t xml:space="preserve">Step 5 — fit_frequency_severity_models</w:t>
      </w:r>
    </w:p>
    <w:p>
      <w:pPr>
        <w:spacing w:after="60"/>
      </w:pPr>
      <w:r>
        <w:rPr>
          <w:b/>
          <w:bCs/>
        </w:rPr>
        <w:t xml:space="preserve">Inputs: </w:t>
      </w:r>
      <w:r>
        <w:rPr>
          <w:rFonts w:ascii="Consolas" w:cs="Consolas" w:eastAsia="Consolas" w:hAnsi="Consolas"/>
          <w:sz w:val="18"/>
          <w:szCs w:val="18"/>
        </w:rPr>
        <w:t xml:space="preserve">({2017: [{'event': 'Hurricane A', 'amount': 20000000, 'trended_amount': 35816953.93, 'loss_to_layer': 0.0}], 2018: [], 2019: [{'event': 'Windstorm B', 'amount': 65000000, 'trended_amount': 103600124.84, 'loss_to_layer': 50000000}], 2020: [], 2021: [{'event': 'Hurricane C', 'amount': 110000000, 'trended_amount': 156037102.35, 'loss_to_layer': 50000000}], 2022: [], 2023: [{'event': 'Windstorm D', 'amount': 15000000, 'trended_amount': 18937154.4, 'loss_to_layer': 0.0}], 2024: [], 2025: [{'event': 'Hurricane E', 'amount': 78000000, 'trended_amount': 87640800.0, 'loss_to_layer': 37640800.0}], 2026: [{'event': 'Windstorm F', 'amount': 5000000, 'trended_amount': 5300000.0, 'loss_to_layer': 0.0}]}, 8372093.02)</w:t>
      </w:r>
    </w:p>
    <w:p>
      <w:pPr>
        <w:spacing w:after="200"/>
      </w:pPr>
      <w:r>
        <w:rPr>
          <w:b/>
          <w:bCs/>
        </w:rPr>
        <w:t xml:space="preserve">Outputs: </w:t>
      </w:r>
      <w:r>
        <w:rPr>
          <w:rFonts w:ascii="Consolas" w:cs="Consolas" w:eastAsia="Consolas" w:hAnsi="Consolas"/>
          <w:sz w:val="18"/>
          <w:szCs w:val="18"/>
        </w:rPr>
        <w:t xml:space="preserve">{'n_claims_to_layer': 3, 'n_years': 10, 'frequency_lambda': 0.3, 'severity_lognormal_mu': 17.6296, 'severity_lognormal_sigma': 0.1546, 'expected_severity_to_layer': 45880266.67, 'modeled_expected_annual_loss_to_layer': 13764080.0, 'exposure_indication_loss_cost_ratio': 1.644}</w:t>
      </w:r>
    </w:p>
    <w:p>
      <w:pPr>
        <w:pStyle w:val="Heading3"/>
        <w:spacing w:after="100" w:before="200"/>
      </w:pPr>
      <w:r>
        <w:t xml:space="preserve">Step 6 — calculate_credibility_weight</w:t>
      </w:r>
    </w:p>
    <w:p>
      <w:pPr>
        <w:spacing w:after="60"/>
      </w:pPr>
      <w:r>
        <w:rPr>
          <w:b/>
          <w:bCs/>
        </w:rPr>
        <w:t xml:space="preserve">Inputs: </w:t>
      </w:r>
      <w:r>
        <w:rPr>
          <w:rFonts w:ascii="Consolas" w:cs="Consolas" w:eastAsia="Consolas" w:hAnsi="Consolas"/>
          <w:sz w:val="18"/>
          <w:szCs w:val="18"/>
        </w:rPr>
        <w:t xml:space="preserve">(3,)</w:t>
      </w:r>
    </w:p>
    <w:p>
      <w:pPr>
        <w:spacing w:after="200"/>
      </w:pPr>
      <w:r>
        <w:rPr>
          <w:b/>
          <w:bCs/>
        </w:rPr>
        <w:t xml:space="preserve">Outputs: </w:t>
      </w:r>
      <w:r>
        <w:rPr>
          <w:rFonts w:ascii="Consolas" w:cs="Consolas" w:eastAsia="Consolas" w:hAnsi="Consolas"/>
          <w:sz w:val="18"/>
          <w:szCs w:val="18"/>
        </w:rPr>
        <w:t xml:space="preserve">{'n_claims_to_layer': 3, 'full_credibility_standard': 15, 'Z': 0.4472, 'note': 'Standard partial credibility formula applied.'}</w:t>
      </w:r>
    </w:p>
    <w:p>
      <w:pPr>
        <w:pStyle w:val="Heading3"/>
        <w:spacing w:after="100" w:before="200"/>
      </w:pPr>
      <w:r>
        <w:t xml:space="preserve">Step 7 — calculate_technical_price</w:t>
      </w:r>
    </w:p>
    <w:p>
      <w:pPr>
        <w:spacing w:after="60"/>
      </w:pPr>
      <w:r>
        <w:rPr>
          <w:b/>
          <w:bCs/>
        </w:rPr>
        <w:t xml:space="preserve">Inputs: </w:t>
      </w:r>
      <w:r>
        <w:rPr>
          <w:rFonts w:ascii="Consolas" w:cs="Consolas" w:eastAsia="Consolas" w:hAnsi="Consolas"/>
          <w:sz w:val="18"/>
          <w:szCs w:val="18"/>
        </w:rPr>
        <w:t xml:space="preserve">{'experience_indication_loss_cost': 13198604.64603, 'exposure_indication_loss_cost': 13764080.0, 'Z': 0.4472, 'onlevel_premium': 8372093.02}</w:t>
      </w:r>
    </w:p>
    <w:p>
      <w:pPr>
        <w:spacing w:after="200"/>
      </w:pPr>
      <w:r>
        <w:rPr>
          <w:b/>
          <w:bCs/>
        </w:rPr>
        <w:t xml:space="preserve">Outputs: </w:t>
      </w:r>
      <w:r>
        <w:rPr>
          <w:rFonts w:ascii="Consolas" w:cs="Consolas" w:eastAsia="Consolas" w:hAnsi="Consolas"/>
          <w:sz w:val="18"/>
          <w:szCs w:val="18"/>
        </w:rPr>
        <w:t xml:space="preserve">{'blended_expected_loss_cost': 13511199.42, 'expense_pct': 0.1, 'admin_pct': 0.015, 'capital_load_pct_of_loss_cost': 0.12, 'capital_load_amount': 1621343.93, 'target_margin_pct': 0.06, 'technical_premium': 18342476.79, 'technical_price_as_pct_of_onlevel_premium': 2.1909}</w:t>
      </w:r>
    </w:p>
    <w:p>
      <w:pPr>
        <w:pStyle w:val="Heading3"/>
        <w:spacing w:after="100" w:before="200"/>
      </w:pPr>
      <w:r>
        <w:t xml:space="preserve">Step 8 — trend_and_onlevel_claims</w:t>
      </w:r>
    </w:p>
    <w:p>
      <w:pPr>
        <w:spacing w:after="60"/>
      </w:pPr>
      <w:r>
        <w:rPr>
          <w:b/>
          <w:bCs/>
        </w:rPr>
        <w:t xml:space="preserve">Inputs: </w:t>
      </w:r>
      <w:r>
        <w:rPr>
          <w:rFonts w:ascii="Consolas" w:cs="Consolas" w:eastAsia="Consolas" w:hAnsi="Consolas"/>
          <w:sz w:val="18"/>
          <w:szCs w:val="18"/>
        </w:rPr>
        <w:t xml:space="preserve">{'losses_by_year': {2017: [{'event': 'Hurricane A', 'amount': 20000000}], 2018: [], 2019: [{'event': 'Windstorm B', 'amount': 65000000}], 2020: [], 2021: [{'event': 'Hurricane C', 'amount': 110000000}], 2022: [], 2023: [{'event': 'Windstorm D', 'amount': 15000000}], 2024: [], 2025: [{'event': 'Hurricane E', 'amount': 78000000}], 2026: [{'event': 'Windstorm F', 'amount': 5000000}]}, 'premium_by_year': {2017: 5400000, 2018: 5600000, 2019: 5900000, 2020: 6100000, 2021: 6400000, 2022: 6800000, 2023: 7100000, 2024: 7400000, 2025: 7700000, 2026: 8000000}, 'tiv_by_year': {2017: 8200000000, 2018: 8500000000, 2019: 8900000000, 2020: 9300000000, 2021: 9800000000, 2022: 10400000000, 2023: 11000000000, 2024: 11700000000, 2025: 12300000000, 2026: 12900000000, 2027: 13500000000}, 'current_year': 2027, 'peril': 'wind'}</w:t>
      </w:r>
    </w:p>
    <w:p>
      <w:pPr>
        <w:spacing w:after="200"/>
      </w:pPr>
      <w:r>
        <w:rPr>
          <w:b/>
          <w:bCs/>
        </w:rPr>
        <w:t xml:space="preserve">Outputs: </w:t>
      </w:r>
      <w:r>
        <w:rPr>
          <w:rFonts w:ascii="Consolas" w:cs="Consolas" w:eastAsia="Consolas" w:hAnsi="Consolas"/>
          <w:sz w:val="18"/>
          <w:szCs w:val="18"/>
        </w:rPr>
        <w:t xml:space="preserve">{'peril': 'wind', 'loss_trend_used': 0.06, 'tiv_trend_used': 0.04, 'trended_events_by_year': {2017: [{'event': 'Hurricane A', 'amount': 20000000, 'trended_amount': 35816953.93}], 2018: [], 2019: [{'event': 'Windstorm B', 'amount': 65000000, 'trended_amount': 103600124.84}], 2020: [], 2021: [{'event': 'Hurricane C', 'amount': 110000000, 'trended_amount': 156037102.35}], 2022: [], 2023: [{'event': 'Windstorm D', 'amount': 15000000, 'trended_amount': 18937154.4}], 2024: [], 2025: [{'event': 'Hurricane E', 'amount': 78000000, 'trended_amount': 87640800.0}], 2026: [{'event': 'Windstorm F', 'amount': 5000000, 'trended_amount': 5300000.0}]}, 'onlevel_premium_by_year': {2017: 8890243.9, 2018: 8894117.65, 2019: 8949438.2, 2020: 8854838.71, 2021: 8816326.53, 2022: 8826923.08, 2023: 8713636.36, 2024: 8538461.54, 2025: 8451219.51, 2026: 8372093.02}}</w:t>
      </w:r>
    </w:p>
    <w:p>
      <w:pPr>
        <w:pStyle w:val="Heading3"/>
        <w:spacing w:after="100" w:before="200"/>
      </w:pPr>
      <w:r>
        <w:t xml:space="preserve">Step 9 — apply_treaty_structure_to_losses</w:t>
      </w:r>
    </w:p>
    <w:p>
      <w:pPr>
        <w:spacing w:after="60"/>
      </w:pPr>
      <w:r>
        <w:rPr>
          <w:b/>
          <w:bCs/>
        </w:rPr>
        <w:t xml:space="preserve">Inputs: </w:t>
      </w:r>
      <w:r>
        <w:rPr>
          <w:rFonts w:ascii="Consolas" w:cs="Consolas" w:eastAsia="Consolas" w:hAnsi="Consolas"/>
          <w:sz w:val="18"/>
          <w:szCs w:val="18"/>
        </w:rPr>
        <w:t xml:space="preserve">({2017: [{'event': 'Hurricane A', 'amount': 20000000, 'trended_amount': 35816953.93}], 2018: [], 2019: [{'event': 'Windstorm B', 'amount': 65000000, 'trended_amount': 103600124.84}], 2020: [], 2021: [{'event': 'Hurricane C', 'amount': 110000000, 'trended_amount': 156037102.35}], 2022: [], 2023: [{'event': 'Windstorm D', 'amount': 15000000, 'trended_amount': 18937154.4}], 2024: [], 2025: [{'event': 'Hurricane E', 'amount': 78000000, 'trended_amount': 87640800.0}], 2026: [{'event': 'Windstorm F', 'amount': 5000000, 'trended_amount': 5300000.0}]}, {'attachment': 37500000.0, 'limit': 50000000, 'reinstatements': 1, 'reinstatement_cost_pct': 1.0})</w:t>
      </w:r>
    </w:p>
    <w:p>
      <w:pPr>
        <w:spacing w:after="200"/>
      </w:pPr>
      <w:r>
        <w:rPr>
          <w:b/>
          <w:bCs/>
        </w:rPr>
        <w:t xml:space="preserve">Outputs: </w:t>
      </w:r>
      <w:r>
        <w:rPr>
          <w:rFonts w:ascii="Consolas" w:cs="Consolas" w:eastAsia="Consolas" w:hAnsi="Consolas"/>
          <w:sz w:val="18"/>
          <w:szCs w:val="18"/>
        </w:rPr>
        <w:t xml:space="preserve">{'attachment': 37500000.0, 'limit': 50000000, 'reinstatements': 1, 'annual_aggregate_limit': 100000000, 'losses_to_layer_by_year': {2017: 0.0, 2018: 0.0, 2019: 50000000.0, 2020: 0.0, 2021: 50000000.0, 2022: 0.0, 2023: 0.0, 2024: 0.0, 2025: 50000000.0, 2026: 0.0}, 'event_detail_by_year': {2017: [{'event': 'Hurricane A', 'amount': 20000000, 'trended_amount': 35816953.93, 'loss_to_layer': 0.0}], 2018: [], 2019: [{'event': 'Windstorm B', 'amount': 65000000, 'trended_amount': 103600124.84, 'loss_to_layer': 50000000}], 2020: [], 2021: [{'event': 'Hurricane C', 'amount': 110000000, 'trended_amount': 156037102.35, 'loss_to_layer': 50000000}], 2022: [], 2023: [{'event': 'Windstorm D', 'amount': 15000000, 'trended_amount': 18937154.4, 'loss_to_layer': 0.0}], 2024: [], 2025: [{'event': 'Hurricane E', 'amount': 78000000, 'trended_amount': 87640800.0, 'loss_to_layer': 50000000}], 2026: [{'event': 'Windstorm F', 'amount': 5000000, 'trended_amount': 5300000.0, 'loss_to_layer': 0.0}]}}</w:t>
      </w:r>
    </w:p>
    <w:p>
      <w:pPr>
        <w:pStyle w:val="Heading3"/>
        <w:spacing w:after="100" w:before="200"/>
      </w:pPr>
      <w:r>
        <w:t xml:space="preserve">Step 10 — calculate_burning_cost</w:t>
      </w:r>
    </w:p>
    <w:p>
      <w:pPr>
        <w:spacing w:after="60"/>
      </w:pPr>
      <w:r>
        <w:rPr>
          <w:b/>
          <w:bCs/>
        </w:rPr>
        <w:t xml:space="preserve">Inputs: </w:t>
      </w:r>
      <w:r>
        <w:rPr>
          <w:rFonts w:ascii="Consolas" w:cs="Consolas" w:eastAsia="Consolas" w:hAnsi="Consolas"/>
          <w:sz w:val="18"/>
          <w:szCs w:val="18"/>
        </w:rPr>
        <w:t xml:space="preserve">({2017: 0.0, 2018: 0.0, 2019: 50000000.0, 2020: 0.0, 2021: 50000000.0, 2022: 0.0, 2023: 0.0, 2024: 0.0, 2025: 50000000.0, 2026: 0.0}, {2017: 8890243.9, 2018: 8894117.65, 2019: 8949438.2, 2020: 8854838.71, 2021: 8816326.53, 2022: 8826923.08, 2023: 8713636.36, 2024: 8538461.54, 2025: 8451219.51, 2026: 8372093.02})</w:t>
      </w:r>
    </w:p>
    <w:p>
      <w:pPr>
        <w:spacing w:after="200"/>
      </w:pPr>
      <w:r>
        <w:rPr>
          <w:b/>
          <w:bCs/>
        </w:rPr>
        <w:t xml:space="preserve">Outputs: </w:t>
      </w:r>
      <w:r>
        <w:rPr>
          <w:rFonts w:ascii="Consolas" w:cs="Consolas" w:eastAsia="Consolas" w:hAnsi="Consolas"/>
          <w:sz w:val="18"/>
          <w:szCs w:val="18"/>
        </w:rPr>
        <w:t xml:space="preserve">{'years_used': [2017, 2018, 2019, 2020, 2021, 2022, 2023, 2024, 2025, 2026], 'annual_burning_cost_ratio': {2017: 0.0, 2018: 0.0, 2019: 5.5869, 2020: 0.0, 2021: 5.6713, 2022: 0.0, 2023: 0.0, 2024: 0.0, 2025: 5.9163, 2026: 0.0}, 'simple_average_burning_cost': 1.7174, 'premium_weighted_average_burning_cost': 1.7181, 'burning_cost_std_dev': 2.6246, 'experience_indication_premium_basis': 14384093.02}</w:t>
      </w:r>
    </w:p>
    <w:p>
      <w:pPr>
        <w:pStyle w:val="Heading3"/>
        <w:spacing w:after="100" w:before="200"/>
      </w:pPr>
      <w:r>
        <w:t xml:space="preserve">Step 11 — fit_frequency_severity_models</w:t>
      </w:r>
    </w:p>
    <w:p>
      <w:pPr>
        <w:spacing w:after="60"/>
      </w:pPr>
      <w:r>
        <w:rPr>
          <w:b/>
          <w:bCs/>
        </w:rPr>
        <w:t xml:space="preserve">Inputs: </w:t>
      </w:r>
      <w:r>
        <w:rPr>
          <w:rFonts w:ascii="Consolas" w:cs="Consolas" w:eastAsia="Consolas" w:hAnsi="Consolas"/>
          <w:sz w:val="18"/>
          <w:szCs w:val="18"/>
        </w:rPr>
        <w:t xml:space="preserve">({2017: [{'event': 'Hurricane A', 'amount': 20000000, 'trended_amount': 35816953.93, 'loss_to_layer': 0.0}], 2018: [], 2019: [{'event': 'Windstorm B', 'amount': 65000000, 'trended_amount': 103600124.84, 'loss_to_layer': 50000000}], 2020: [], 2021: [{'event': 'Hurricane C', 'amount': 110000000, 'trended_amount': 156037102.35, 'loss_to_layer': 50000000}], 2022: [], 2023: [{'event': 'Windstorm D', 'amount': 15000000, 'trended_amount': 18937154.4, 'loss_to_layer': 0.0}], 2024: [], 2025: [{'event': 'Hurricane E', 'amount': 78000000, 'trended_amount': 87640800.0, 'loss_to_layer': 50000000}], 2026: [{'event': 'Windstorm F', 'amount': 5000000, 'trended_amount': 5300000.0, 'loss_to_layer': 0.0}]}, 8372093.02)</w:t>
      </w:r>
    </w:p>
    <w:p>
      <w:pPr>
        <w:spacing w:after="200"/>
      </w:pPr>
      <w:r>
        <w:rPr>
          <w:b/>
          <w:bCs/>
        </w:rPr>
        <w:t xml:space="preserve">Outputs: </w:t>
      </w:r>
      <w:r>
        <w:rPr>
          <w:rFonts w:ascii="Consolas" w:cs="Consolas" w:eastAsia="Consolas" w:hAnsi="Consolas"/>
          <w:sz w:val="18"/>
          <w:szCs w:val="18"/>
        </w:rPr>
        <w:t xml:space="preserve">{'n_claims_to_layer': 3, 'n_years': 10, 'frequency_lambda': 0.3, 'severity_lognormal_mu': 17.7275, 'severity_lognormal_sigma': 0.0, 'expected_severity_to_layer': 50000000.0, 'modeled_expected_annual_loss_to_layer': 15000000.0, 'exposure_indication_loss_cost_ratio': 1.7917}</w:t>
      </w:r>
    </w:p>
    <w:p>
      <w:pPr>
        <w:pStyle w:val="Heading3"/>
        <w:spacing w:after="100" w:before="200"/>
      </w:pPr>
      <w:r>
        <w:t xml:space="preserve">Step 12 — calculate_credibility_weight</w:t>
      </w:r>
    </w:p>
    <w:p>
      <w:pPr>
        <w:spacing w:after="60"/>
      </w:pPr>
      <w:r>
        <w:rPr>
          <w:b/>
          <w:bCs/>
        </w:rPr>
        <w:t xml:space="preserve">Inputs: </w:t>
      </w:r>
      <w:r>
        <w:rPr>
          <w:rFonts w:ascii="Consolas" w:cs="Consolas" w:eastAsia="Consolas" w:hAnsi="Consolas"/>
          <w:sz w:val="18"/>
          <w:szCs w:val="18"/>
        </w:rPr>
        <w:t xml:space="preserve">(3,)</w:t>
      </w:r>
    </w:p>
    <w:p>
      <w:pPr>
        <w:spacing w:after="200"/>
      </w:pPr>
      <w:r>
        <w:rPr>
          <w:b/>
          <w:bCs/>
        </w:rPr>
        <w:t xml:space="preserve">Outputs: </w:t>
      </w:r>
      <w:r>
        <w:rPr>
          <w:rFonts w:ascii="Consolas" w:cs="Consolas" w:eastAsia="Consolas" w:hAnsi="Consolas"/>
          <w:sz w:val="18"/>
          <w:szCs w:val="18"/>
        </w:rPr>
        <w:t xml:space="preserve">{'n_claims_to_layer': 3, 'full_credibility_standard': 15, 'Z': 0.4472, 'note': 'Standard partial credibility formula applied.'}</w:t>
      </w:r>
    </w:p>
    <w:p>
      <w:pPr>
        <w:pStyle w:val="Heading3"/>
        <w:spacing w:after="100" w:before="200"/>
      </w:pPr>
      <w:r>
        <w:t xml:space="preserve">Step 13 — calculate_technical_price</w:t>
      </w:r>
    </w:p>
    <w:p>
      <w:pPr>
        <w:spacing w:after="60"/>
      </w:pPr>
      <w:r>
        <w:rPr>
          <w:b/>
          <w:bCs/>
        </w:rPr>
        <w:t xml:space="preserve">Inputs: </w:t>
      </w:r>
      <w:r>
        <w:rPr>
          <w:rFonts w:ascii="Consolas" w:cs="Consolas" w:eastAsia="Consolas" w:hAnsi="Consolas"/>
          <w:sz w:val="18"/>
          <w:szCs w:val="18"/>
        </w:rPr>
        <w:t xml:space="preserve">{'experience_indication_loss_cost': 14384093.017661998, 'exposure_indication_loss_cost': 15000000.0, 'Z': 0.4472, 'onlevel_premium': 8372093.02}</w:t>
      </w:r>
    </w:p>
    <w:p>
      <w:pPr>
        <w:spacing w:after="200"/>
      </w:pPr>
      <w:r>
        <w:rPr>
          <w:b/>
          <w:bCs/>
        </w:rPr>
        <w:t xml:space="preserve">Outputs: </w:t>
      </w:r>
      <w:r>
        <w:rPr>
          <w:rFonts w:ascii="Consolas" w:cs="Consolas" w:eastAsia="Consolas" w:hAnsi="Consolas"/>
          <w:sz w:val="18"/>
          <w:szCs w:val="18"/>
        </w:rPr>
        <w:t xml:space="preserve">{'blended_expected_loss_cost': 14724566.4, 'expense_pct': 0.1, 'admin_pct': 0.015, 'capital_load_pct_of_loss_cost': 0.12, 'capital_load_amount': 1766947.97, 'target_margin_pct': 0.06, 'technical_premium': 19989714.39, 'technical_price_as_pct_of_onlevel_premium': 2.3877}</w:t>
      </w:r>
    </w:p>
    <w:p>
      <w:pPr>
        <w:pStyle w:val="Heading3"/>
        <w:spacing w:after="100" w:before="200"/>
      </w:pPr>
      <w:r>
        <w:t xml:space="preserve">Step 14 — trend_and_onlevel_claims</w:t>
      </w:r>
    </w:p>
    <w:p>
      <w:pPr>
        <w:spacing w:after="60"/>
      </w:pPr>
      <w:r>
        <w:rPr>
          <w:b/>
          <w:bCs/>
        </w:rPr>
        <w:t xml:space="preserve">Inputs: </w:t>
      </w:r>
      <w:r>
        <w:rPr>
          <w:rFonts w:ascii="Consolas" w:cs="Consolas" w:eastAsia="Consolas" w:hAnsi="Consolas"/>
          <w:sz w:val="18"/>
          <w:szCs w:val="18"/>
        </w:rPr>
        <w:t xml:space="preserve">{'losses_by_year': {2017: [{'event': 'Hurricane A', 'amount': 20000000}], 2018: [], 2019: [{'event': 'Windstorm B', 'amount': 65000000}], 2020: [], 2021: [{'event': 'Hurricane C', 'amount': 110000000}], 2022: [], 2023: [{'event': 'Windstorm D', 'amount': 15000000}], 2024: [], 2025: [{'event': 'Hurricane E', 'amount': 78000000}], 2026: [{'event': 'Windstorm F', 'amount': 5000000}]}, 'premium_by_year': {2017: 5400000, 2018: 5600000, 2019: 5900000, 2020: 6100000, 2021: 6400000, 2022: 6800000, 2023: 7100000, 2024: 7400000, 2025: 7700000, 2026: 8000000}, 'tiv_by_year': {2017: 8200000000, 2018: 8500000000, 2019: 8900000000, 2020: 9300000000, 2021: 9800000000, 2022: 10400000000, 2023: 11000000000, 2024: 11700000000, 2025: 12300000000, 2026: 12900000000, 2027: 13500000000}, 'current_year': 2027, 'peril': 'wind'}</w:t>
      </w:r>
    </w:p>
    <w:p>
      <w:pPr>
        <w:spacing w:after="200"/>
      </w:pPr>
      <w:r>
        <w:rPr>
          <w:b/>
          <w:bCs/>
        </w:rPr>
        <w:t xml:space="preserve">Outputs: </w:t>
      </w:r>
      <w:r>
        <w:rPr>
          <w:rFonts w:ascii="Consolas" w:cs="Consolas" w:eastAsia="Consolas" w:hAnsi="Consolas"/>
          <w:sz w:val="18"/>
          <w:szCs w:val="18"/>
        </w:rPr>
        <w:t xml:space="preserve">{'peril': 'wind', 'loss_trend_used': 0.06, 'tiv_trend_used': 0.04, 'trended_events_by_year': {2017: [{'event': 'Hurricane A', 'amount': 20000000, 'trended_amount': 35816953.93}], 2018: [], 2019: [{'event': 'Windstorm B', 'amount': 65000000, 'trended_amount': 103600124.84}], 2020: [], 2021: [{'event': 'Hurricane C', 'amount': 110000000, 'trended_amount': 156037102.35}], 2022: [], 2023: [{'event': 'Windstorm D', 'amount': 15000000, 'trended_amount': 18937154.4}], 2024: [], 2025: [{'event': 'Hurricane E', 'amount': 78000000, 'trended_amount': 87640800.0}], 2026: [{'event': 'Windstorm F', 'amount': 5000000, 'trended_amount': 5300000.0}]}, 'onlevel_premium_by_year': {2017: 8890243.9, 2018: 8894117.65, 2019: 8949438.2, 2020: 8854838.71, 2021: 8816326.53, 2022: 8826923.08, 2023: 8713636.36, 2024: 8538461.54, 2025: 8451219.51, 2026: 8372093.02}}</w:t>
      </w:r>
    </w:p>
    <w:p>
      <w:pPr>
        <w:pStyle w:val="Heading3"/>
        <w:spacing w:after="100" w:before="200"/>
      </w:pPr>
      <w:r>
        <w:t xml:space="preserve">Step 15 — apply_treaty_structure_to_losses</w:t>
      </w:r>
    </w:p>
    <w:p>
      <w:pPr>
        <w:spacing w:after="60"/>
      </w:pPr>
      <w:r>
        <w:rPr>
          <w:b/>
          <w:bCs/>
        </w:rPr>
        <w:t xml:space="preserve">Inputs: </w:t>
      </w:r>
      <w:r>
        <w:rPr>
          <w:rFonts w:ascii="Consolas" w:cs="Consolas" w:eastAsia="Consolas" w:hAnsi="Consolas"/>
          <w:sz w:val="18"/>
          <w:szCs w:val="18"/>
        </w:rPr>
        <w:t xml:space="preserve">({2017: [{'event': 'Hurricane A', 'amount': 20000000, 'trended_amount': 35816953.93}], 2018: [], 2019: [{'event': 'Windstorm B', 'amount': 65000000, 'trended_amount': 103600124.84}], 2020: [], 2021: [{'event': 'Hurricane C', 'amount': 110000000, 'trended_amount': 156037102.35}], 2022: [], 2023: [{'event': 'Windstorm D', 'amount': 15000000, 'trended_amount': 18937154.4}], 2024: [], 2025: [{'event': 'Hurricane E', 'amount': 78000000, 'trended_amount': 87640800.0}], 2026: [{'event': 'Windstorm F', 'amount': 5000000, 'trended_amount': 5300000.0}]}, {'attachment': 62500000.0, 'limit': 50000000, 'reinstatements': 1, 'reinstatement_cost_pct': 1.0})</w:t>
      </w:r>
    </w:p>
    <w:p>
      <w:pPr>
        <w:spacing w:after="200"/>
      </w:pPr>
      <w:r>
        <w:rPr>
          <w:b/>
          <w:bCs/>
        </w:rPr>
        <w:t xml:space="preserve">Outputs: </w:t>
      </w:r>
      <w:r>
        <w:rPr>
          <w:rFonts w:ascii="Consolas" w:cs="Consolas" w:eastAsia="Consolas" w:hAnsi="Consolas"/>
          <w:sz w:val="18"/>
          <w:szCs w:val="18"/>
        </w:rPr>
        <w:t xml:space="preserve">{'attachment': 62500000.0, 'limit': 50000000, 'reinstatements': 1, 'annual_aggregate_limit': 100000000, 'losses_to_layer_by_year': {2017: 0.0, 2018: 0.0, 2019: 41100124.84, 2020: 0.0, 2021: 50000000.0, 2022: 0.0, 2023: 0.0, 2024: 0.0, 2025: 25140800.0, 2026: 0.0}, 'event_detail_by_year': {2017: [{'event': 'Hurricane A', 'amount': 20000000, 'trended_amount': 35816953.93, 'loss_to_layer': 0.0}], 2018: [], 2019: [{'event': 'Windstorm B', 'amount': 65000000, 'trended_amount': 103600124.84, 'loss_to_layer': 41100124.84}], 2020: [], 2021: [{'event': 'Hurricane C', 'amount': 110000000, 'trended_amount': 156037102.35, 'loss_to_layer': 50000000}], 2022: [], 2023: [{'event': 'Windstorm D', 'amount': 15000000, 'trended_amount': 18937154.4, 'loss_to_layer': 0.0}], 2024: [], 2025: [{'event': 'Hurricane E', 'amount': 78000000, 'trended_amount': 87640800.0, 'loss_to_layer': 25140800.0}], 2026: [{'event': 'Windstorm F', 'amount': 5000000, 'trended_amount': 5300000.0, 'loss_to_layer': 0.0}]}}</w:t>
      </w:r>
    </w:p>
    <w:p>
      <w:pPr>
        <w:pStyle w:val="Heading3"/>
        <w:spacing w:after="100" w:before="200"/>
      </w:pPr>
      <w:r>
        <w:t xml:space="preserve">Step 16 — calculate_burning_cost</w:t>
      </w:r>
    </w:p>
    <w:p>
      <w:pPr>
        <w:spacing w:after="60"/>
      </w:pPr>
      <w:r>
        <w:rPr>
          <w:b/>
          <w:bCs/>
        </w:rPr>
        <w:t xml:space="preserve">Inputs: </w:t>
      </w:r>
      <w:r>
        <w:rPr>
          <w:rFonts w:ascii="Consolas" w:cs="Consolas" w:eastAsia="Consolas" w:hAnsi="Consolas"/>
          <w:sz w:val="18"/>
          <w:szCs w:val="18"/>
        </w:rPr>
        <w:t xml:space="preserve">({2017: 0.0, 2018: 0.0, 2019: 41100124.84, 2020: 0.0, 2021: 50000000.0, 2022: 0.0, 2023: 0.0, 2024: 0.0, 2025: 25140800.0, 2026: 0.0}, {2017: 8890243.9, 2018: 8894117.65, 2019: 8949438.2, 2020: 8854838.71, 2021: 8816326.53, 2022: 8826923.08, 2023: 8713636.36, 2024: 8538461.54, 2025: 8451219.51, 2026: 8372093.02})</w:t>
      </w:r>
    </w:p>
    <w:p>
      <w:pPr>
        <w:spacing w:after="200"/>
      </w:pPr>
      <w:r>
        <w:rPr>
          <w:b/>
          <w:bCs/>
        </w:rPr>
        <w:t xml:space="preserve">Outputs: </w:t>
      </w:r>
      <w:r>
        <w:rPr>
          <w:rFonts w:ascii="Consolas" w:cs="Consolas" w:eastAsia="Consolas" w:hAnsi="Consolas"/>
          <w:sz w:val="18"/>
          <w:szCs w:val="18"/>
        </w:rPr>
        <w:t xml:space="preserve">{'years_used': [2017, 2018, 2019, 2020, 2021, 2022, 2023, 2024, 2025, 2026], 'annual_burning_cost_ratio': {2017: 0.0, 2018: 0.0, 2019: 4.5925, 2020: 0.0, 2021: 5.6713, 2022: 0.0, 2023: 0.0, 2024: 0.0, 2025: 2.9748, 2026: 0.0}, 'simple_average_burning_cost': 1.3239, 'premium_weighted_average_burning_cost': 1.3314, 'burning_cost_std_dev': 2.1114, 'experience_indication_premium_basis': 11146604.65}</w:t>
      </w:r>
    </w:p>
    <w:p>
      <w:pPr>
        <w:pStyle w:val="Heading3"/>
        <w:spacing w:after="100" w:before="200"/>
      </w:pPr>
      <w:r>
        <w:t xml:space="preserve">Step 17 — fit_frequency_severity_models</w:t>
      </w:r>
    </w:p>
    <w:p>
      <w:pPr>
        <w:spacing w:after="60"/>
      </w:pPr>
      <w:r>
        <w:rPr>
          <w:b/>
          <w:bCs/>
        </w:rPr>
        <w:t xml:space="preserve">Inputs: </w:t>
      </w:r>
      <w:r>
        <w:rPr>
          <w:rFonts w:ascii="Consolas" w:cs="Consolas" w:eastAsia="Consolas" w:hAnsi="Consolas"/>
          <w:sz w:val="18"/>
          <w:szCs w:val="18"/>
        </w:rPr>
        <w:t xml:space="preserve">({2017: [{'event': 'Hurricane A', 'amount': 20000000, 'trended_amount': 35816953.93, 'loss_to_layer': 0.0}], 2018: [], 2019: [{'event': 'Windstorm B', 'amount': 65000000, 'trended_amount': 103600124.84, 'loss_to_layer': 41100124.84}], 2020: [], 2021: [{'event': 'Hurricane C', 'amount': 110000000, 'trended_amount': 156037102.35, 'loss_to_layer': 50000000}], 2022: [], 2023: [{'event': 'Windstorm D', 'amount': 15000000, 'trended_amount': 18937154.4, 'loss_to_layer': 0.0}], 2024: [], 2025: [{'event': 'Hurricane E', 'amount': 78000000, 'trended_amount': 87640800.0, 'loss_to_layer': 25140800.0}], 2026: [{'event': 'Windstorm F', 'amount': 5000000, 'trended_amount': 5300000.0, 'loss_to_layer': 0.0}]}, 8372093.02)</w:t>
      </w:r>
    </w:p>
    <w:p>
      <w:pPr>
        <w:spacing w:after="200"/>
      </w:pPr>
      <w:r>
        <w:rPr>
          <w:b/>
          <w:bCs/>
        </w:rPr>
        <w:t xml:space="preserve">Outputs: </w:t>
      </w:r>
      <w:r>
        <w:rPr>
          <w:rFonts w:ascii="Consolas" w:cs="Consolas" w:eastAsia="Consolas" w:hAnsi="Consolas"/>
          <w:sz w:val="18"/>
          <w:szCs w:val="18"/>
        </w:rPr>
        <w:t xml:space="preserve">{'n_claims_to_layer': 3, 'n_years': 10, 'frequency_lambda': 0.3, 'severity_lognormal_mu': 17.4223, 'severity_lognormal_sigma': 0.3169, 'expected_severity_to_layer': 38746974.95, 'modeled_expected_annual_loss_to_layer': 11624092.48, 'exposure_indication_loss_cost_ratio': 1.3884}</w:t>
      </w:r>
    </w:p>
    <w:p>
      <w:pPr>
        <w:pStyle w:val="Heading3"/>
        <w:spacing w:after="100" w:before="200"/>
      </w:pPr>
      <w:r>
        <w:t xml:space="preserve">Step 18 — calculate_credibility_weight</w:t>
      </w:r>
    </w:p>
    <w:p>
      <w:pPr>
        <w:spacing w:after="60"/>
      </w:pPr>
      <w:r>
        <w:rPr>
          <w:b/>
          <w:bCs/>
        </w:rPr>
        <w:t xml:space="preserve">Inputs: </w:t>
      </w:r>
      <w:r>
        <w:rPr>
          <w:rFonts w:ascii="Consolas" w:cs="Consolas" w:eastAsia="Consolas" w:hAnsi="Consolas"/>
          <w:sz w:val="18"/>
          <w:szCs w:val="18"/>
        </w:rPr>
        <w:t xml:space="preserve">(3,)</w:t>
      </w:r>
    </w:p>
    <w:p>
      <w:pPr>
        <w:spacing w:after="200"/>
      </w:pPr>
      <w:r>
        <w:rPr>
          <w:b/>
          <w:bCs/>
        </w:rPr>
        <w:t xml:space="preserve">Outputs: </w:t>
      </w:r>
      <w:r>
        <w:rPr>
          <w:rFonts w:ascii="Consolas" w:cs="Consolas" w:eastAsia="Consolas" w:hAnsi="Consolas"/>
          <w:sz w:val="18"/>
          <w:szCs w:val="18"/>
        </w:rPr>
        <w:t xml:space="preserve">{'n_claims_to_layer': 3, 'full_credibility_standard': 15, 'Z': 0.4472, 'note': 'Standard partial credibility formula applied.'}</w:t>
      </w:r>
    </w:p>
    <w:p>
      <w:pPr>
        <w:pStyle w:val="Heading3"/>
        <w:spacing w:after="100" w:before="200"/>
      </w:pPr>
      <w:r>
        <w:t xml:space="preserve">Step 19 — calculate_technical_price</w:t>
      </w:r>
    </w:p>
    <w:p>
      <w:pPr>
        <w:spacing w:after="60"/>
      </w:pPr>
      <w:r>
        <w:rPr>
          <w:b/>
          <w:bCs/>
        </w:rPr>
        <w:t xml:space="preserve">Inputs: </w:t>
      </w:r>
      <w:r>
        <w:rPr>
          <w:rFonts w:ascii="Consolas" w:cs="Consolas" w:eastAsia="Consolas" w:hAnsi="Consolas"/>
          <w:sz w:val="18"/>
          <w:szCs w:val="18"/>
        </w:rPr>
        <w:t xml:space="preserve">{'experience_indication_loss_cost': 11146604.646828, 'exposure_indication_loss_cost': 11624092.48, 'Z': 0.4472, 'onlevel_premium': 8372093.02}</w:t>
      </w:r>
    </w:p>
    <w:p>
      <w:pPr>
        <w:spacing w:after="200"/>
      </w:pPr>
      <w:r>
        <w:rPr>
          <w:b/>
          <w:bCs/>
        </w:rPr>
        <w:t xml:space="preserve">Outputs: </w:t>
      </w:r>
      <w:r>
        <w:rPr>
          <w:rFonts w:ascii="Consolas" w:cs="Consolas" w:eastAsia="Consolas" w:hAnsi="Consolas"/>
          <w:sz w:val="18"/>
          <w:szCs w:val="18"/>
        </w:rPr>
        <w:t xml:space="preserve">{'blended_expected_loss_cost': 11410559.92, 'expense_pct': 0.1, 'admin_pct': 0.015, 'capital_load_pct_of_loss_cost': 0.12, 'capital_load_amount': 1369267.19, 'target_margin_pct': 0.06, 'technical_premium': 15490699.53, 'technical_price_as_pct_of_onlevel_premium': 1.8503}</w:t>
      </w:r>
    </w:p>
    <w:p>
      <w:pPr>
        <w:pStyle w:val="Heading3"/>
        <w:spacing w:after="100" w:before="200"/>
      </w:pPr>
      <w:r>
        <w:t xml:space="preserve">Step 20 — trend_and_onlevel_claims</w:t>
      </w:r>
    </w:p>
    <w:p>
      <w:pPr>
        <w:spacing w:after="60"/>
      </w:pPr>
      <w:r>
        <w:rPr>
          <w:b/>
          <w:bCs/>
        </w:rPr>
        <w:t xml:space="preserve">Inputs: </w:t>
      </w:r>
      <w:r>
        <w:rPr>
          <w:rFonts w:ascii="Consolas" w:cs="Consolas" w:eastAsia="Consolas" w:hAnsi="Consolas"/>
          <w:sz w:val="18"/>
          <w:szCs w:val="18"/>
        </w:rPr>
        <w:t xml:space="preserve">{'losses_by_year': {2017: [{'event': 'Hurricane A', 'amount': 20000000}], 2018: [], 2019: [{'event': 'Windstorm B', 'amount': 65000000}], 2020: [], 2021: [{'event': 'Hurricane C', 'amount': 110000000}], 2022: [], 2023: [{'event': 'Windstorm D', 'amount': 15000000}], 2024: [], 2025: [{'event': 'Hurricane E', 'amount': 78000000}], 2026: [{'event': 'Windstorm F', 'amount': 5000000}]}, 'premium_by_year': {2017: 5400000, 2018: 5600000, 2019: 5900000, 2020: 6100000, 2021: 6400000, 2022: 6800000, 2023: 7100000, 2024: 7400000, 2025: 7700000, 2026: 8000000}, 'tiv_by_year': {2017: 8200000000, 2018: 8500000000, 2019: 8900000000, 2020: 9300000000, 2021: 9800000000, 2022: 10400000000, 2023: 11000000000, 2024: 11700000000, 2025: 12300000000, 2026: 12900000000, 2027: 13500000000}, 'current_year': 2027, 'peril': 'wind'}</w:t>
      </w:r>
    </w:p>
    <w:p>
      <w:pPr>
        <w:spacing w:after="200"/>
      </w:pPr>
      <w:r>
        <w:rPr>
          <w:b/>
          <w:bCs/>
        </w:rPr>
        <w:t xml:space="preserve">Outputs: </w:t>
      </w:r>
      <w:r>
        <w:rPr>
          <w:rFonts w:ascii="Consolas" w:cs="Consolas" w:eastAsia="Consolas" w:hAnsi="Consolas"/>
          <w:sz w:val="18"/>
          <w:szCs w:val="18"/>
        </w:rPr>
        <w:t xml:space="preserve">{'peril': 'wind', 'loss_trend_used': 0.06, 'tiv_trend_used': 0.04, 'trended_events_by_year': {2017: [{'event': 'Hurricane A', 'amount': 20000000, 'trended_amount': 35816953.93}], 2018: [], 2019: [{'event': 'Windstorm B', 'amount': 65000000, 'trended_amount': 103600124.84}], 2020: [], 2021: [{'event': 'Hurricane C', 'amount': 110000000, 'trended_amount': 156037102.35}], 2022: [], 2023: [{'event': 'Windstorm D', 'amount': 15000000, 'trended_amount': 18937154.4}], 2024: [], 2025: [{'event': 'Hurricane E', 'amount': 78000000, 'trended_amount': 87640800.0}], 2026: [{'event': 'Windstorm F', 'amount': 5000000, 'trended_amount': 5300000.0}]}, 'onlevel_premium_by_year': {2017: 8890243.9, 2018: 8894117.65, 2019: 8949438.2, 2020: 8854838.71, 2021: 8816326.53, 2022: 8826923.08, 2023: 8713636.36, 2024: 8538461.54, 2025: 8451219.51, 2026: 8372093.02}}</w:t>
      </w:r>
    </w:p>
    <w:p>
      <w:pPr>
        <w:pStyle w:val="Heading3"/>
        <w:spacing w:after="100" w:before="200"/>
      </w:pPr>
      <w:r>
        <w:t xml:space="preserve">Step 21 — apply_treaty_structure_to_losses</w:t>
      </w:r>
    </w:p>
    <w:p>
      <w:pPr>
        <w:spacing w:after="60"/>
      </w:pPr>
      <w:r>
        <w:rPr>
          <w:b/>
          <w:bCs/>
        </w:rPr>
        <w:t xml:space="preserve">Inputs: </w:t>
      </w:r>
      <w:r>
        <w:rPr>
          <w:rFonts w:ascii="Consolas" w:cs="Consolas" w:eastAsia="Consolas" w:hAnsi="Consolas"/>
          <w:sz w:val="18"/>
          <w:szCs w:val="18"/>
        </w:rPr>
        <w:t xml:space="preserve">({2017: [{'event': 'Hurricane A', 'amount': 20000000, 'trended_amount': 35816953.93}], 2018: [], 2019: [{'event': 'Windstorm B', 'amount': 65000000, 'trended_amount': 103600124.84}], 2020: [], 2021: [{'event': 'Hurricane C', 'amount': 110000000, 'trended_amount': 156037102.35}], 2022: [], 2023: [{'event': 'Windstorm D', 'amount': 15000000, 'trended_amount': 18937154.4}], 2024: [], 2025: [{'event': 'Hurricane E', 'amount': 78000000, 'trended_amount': 87640800.0}], 2026: [{'event': 'Windstorm F', 'amount': 5000000, 'trended_amount': 5300000.0}]}, {'attachment': 50000000, 'limit': 37500000.0, 'reinstatements': 1, 'reinstatement_cost_pct': 1.0})</w:t>
      </w:r>
    </w:p>
    <w:p>
      <w:pPr>
        <w:spacing w:after="200"/>
      </w:pPr>
      <w:r>
        <w:rPr>
          <w:b/>
          <w:bCs/>
        </w:rPr>
        <w:t xml:space="preserve">Outputs: </w:t>
      </w:r>
      <w:r>
        <w:rPr>
          <w:rFonts w:ascii="Consolas" w:cs="Consolas" w:eastAsia="Consolas" w:hAnsi="Consolas"/>
          <w:sz w:val="18"/>
          <w:szCs w:val="18"/>
        </w:rPr>
        <w:t xml:space="preserve">{'attachment': 50000000, 'limit': 37500000.0, 'reinstatements': 1, 'annual_aggregate_limit': 75000000.0, 'losses_to_layer_by_year': {2017: 0.0, 2018: 0.0, 2019: 37500000.0, 2020: 0.0, 2021: 37500000.0, 2022: 0.0, 2023: 0.0, 2024: 0.0, 2025: 37500000.0, 2026: 0.0}, 'event_detail_by_year': {2017: [{'event': 'Hurricane A', 'amount': 20000000, 'trended_amount': 35816953.93, 'loss_to_layer': 0.0}], 2018: [], 2019: [{'event': 'Windstorm B', 'amount': 65000000, 'trended_amount': 103600124.84, 'loss_to_layer': 37500000.0}], 2020: [], 2021: [{'event': 'Hurricane C', 'amount': 110000000, 'trended_amount': 156037102.35, 'loss_to_layer': 37500000.0}], 2022: [], 2023: [{'event': 'Windstorm D', 'amount': 15000000, 'trended_amount': 18937154.4, 'loss_to_layer': 0.0}], 2024: [], 2025: [{'event': 'Hurricane E', 'amount': 78000000, 'trended_amount': 87640800.0, 'loss_to_layer': 37500000.0}], 2026: [{'event': 'Windstorm F', 'amount': 5000000, 'trended_amount': 5300000.0, 'loss_to_layer': 0.0}]}}</w:t>
      </w:r>
    </w:p>
    <w:p>
      <w:pPr>
        <w:pStyle w:val="Heading3"/>
        <w:spacing w:after="100" w:before="200"/>
      </w:pPr>
      <w:r>
        <w:t xml:space="preserve">Step 22 — calculate_burning_cost</w:t>
      </w:r>
    </w:p>
    <w:p>
      <w:pPr>
        <w:spacing w:after="60"/>
      </w:pPr>
      <w:r>
        <w:rPr>
          <w:b/>
          <w:bCs/>
        </w:rPr>
        <w:t xml:space="preserve">Inputs: </w:t>
      </w:r>
      <w:r>
        <w:rPr>
          <w:rFonts w:ascii="Consolas" w:cs="Consolas" w:eastAsia="Consolas" w:hAnsi="Consolas"/>
          <w:sz w:val="18"/>
          <w:szCs w:val="18"/>
        </w:rPr>
        <w:t xml:space="preserve">({2017: 0.0, 2018: 0.0, 2019: 37500000.0, 2020: 0.0, 2021: 37500000.0, 2022: 0.0, 2023: 0.0, 2024: 0.0, 2025: 37500000.0, 2026: 0.0}, {2017: 8890243.9, 2018: 8894117.65, 2019: 8949438.2, 2020: 8854838.71, 2021: 8816326.53, 2022: 8826923.08, 2023: 8713636.36, 2024: 8538461.54, 2025: 8451219.51, 2026: 8372093.02})</w:t>
      </w:r>
    </w:p>
    <w:p>
      <w:pPr>
        <w:spacing w:after="200"/>
      </w:pPr>
      <w:r>
        <w:rPr>
          <w:b/>
          <w:bCs/>
        </w:rPr>
        <w:t xml:space="preserve">Outputs: </w:t>
      </w:r>
      <w:r>
        <w:rPr>
          <w:rFonts w:ascii="Consolas" w:cs="Consolas" w:eastAsia="Consolas" w:hAnsi="Consolas"/>
          <w:sz w:val="18"/>
          <w:szCs w:val="18"/>
        </w:rPr>
        <w:t xml:space="preserve">{'years_used': [2017, 2018, 2019, 2020, 2021, 2022, 2023, 2024, 2025, 2026], 'annual_burning_cost_ratio': {2017: 0.0, 2018: 0.0, 2019: 4.1902, 2020: 0.0, 2021: 4.2535, 2022: 0.0, 2023: 0.0, 2024: 0.0, 2025: 4.4372, 2026: 0.0}, 'simple_average_burning_cost': 1.2881, 'premium_weighted_average_burning_cost': 1.2886, 'burning_cost_std_dev': 1.9684, 'experience_indication_premium_basis': 10788279.07}</w:t>
      </w:r>
    </w:p>
    <w:p>
      <w:pPr>
        <w:pStyle w:val="Heading3"/>
        <w:spacing w:after="100" w:before="200"/>
      </w:pPr>
      <w:r>
        <w:t xml:space="preserve">Step 23 — fit_frequency_severity_models</w:t>
      </w:r>
    </w:p>
    <w:p>
      <w:pPr>
        <w:spacing w:after="60"/>
      </w:pPr>
      <w:r>
        <w:rPr>
          <w:b/>
          <w:bCs/>
        </w:rPr>
        <w:t xml:space="preserve">Inputs: </w:t>
      </w:r>
      <w:r>
        <w:rPr>
          <w:rFonts w:ascii="Consolas" w:cs="Consolas" w:eastAsia="Consolas" w:hAnsi="Consolas"/>
          <w:sz w:val="18"/>
          <w:szCs w:val="18"/>
        </w:rPr>
        <w:t xml:space="preserve">({2017: [{'event': 'Hurricane A', 'amount': 20000000, 'trended_amount': 35816953.93, 'loss_to_layer': 0.0}], 2018: [], 2019: [{'event': 'Windstorm B', 'amount': 65000000, 'trended_amount': 103600124.84, 'loss_to_layer': 37500000.0}], 2020: [], 2021: [{'event': 'Hurricane C', 'amount': 110000000, 'trended_amount': 156037102.35, 'loss_to_layer': 37500000.0}], 2022: [], 2023: [{'event': 'Windstorm D', 'amount': 15000000, 'trended_amount': 18937154.4, 'loss_to_layer': 0.0}], 2024: [], 2025: [{'event': 'Hurricane E', 'amount': 78000000, 'trended_amount': 87640800.0, 'loss_to_layer': 37500000.0}], 2026: [{'event': 'Windstorm F', 'amount': 5000000, 'trended_amount': 5300000.0, 'loss_to_layer': 0.0}]}, 8372093.02)</w:t>
      </w:r>
    </w:p>
    <w:p>
      <w:pPr>
        <w:spacing w:after="200"/>
      </w:pPr>
      <w:r>
        <w:rPr>
          <w:b/>
          <w:bCs/>
        </w:rPr>
        <w:t xml:space="preserve">Outputs: </w:t>
      </w:r>
      <w:r>
        <w:rPr>
          <w:rFonts w:ascii="Consolas" w:cs="Consolas" w:eastAsia="Consolas" w:hAnsi="Consolas"/>
          <w:sz w:val="18"/>
          <w:szCs w:val="18"/>
        </w:rPr>
        <w:t xml:space="preserve">{'n_claims_to_layer': 3, 'n_years': 10, 'frequency_lambda': 0.3, 'severity_lognormal_mu': 17.4399, 'severity_lognormal_sigma': 0.0, 'expected_severity_to_layer': 37500000.0, 'modeled_expected_annual_loss_to_layer': 11250000.0, 'exposure_indication_loss_cost_ratio': 1.3438}</w:t>
      </w:r>
    </w:p>
    <w:p>
      <w:pPr>
        <w:pStyle w:val="Heading3"/>
        <w:spacing w:after="100" w:before="200"/>
      </w:pPr>
      <w:r>
        <w:t xml:space="preserve">Step 24 — calculate_credibility_weight</w:t>
      </w:r>
    </w:p>
    <w:p>
      <w:pPr>
        <w:spacing w:after="60"/>
      </w:pPr>
      <w:r>
        <w:rPr>
          <w:b/>
          <w:bCs/>
        </w:rPr>
        <w:t xml:space="preserve">Inputs: </w:t>
      </w:r>
      <w:r>
        <w:rPr>
          <w:rFonts w:ascii="Consolas" w:cs="Consolas" w:eastAsia="Consolas" w:hAnsi="Consolas"/>
          <w:sz w:val="18"/>
          <w:szCs w:val="18"/>
        </w:rPr>
        <w:t xml:space="preserve">(3,)</w:t>
      </w:r>
    </w:p>
    <w:p>
      <w:pPr>
        <w:spacing w:after="200"/>
      </w:pPr>
      <w:r>
        <w:rPr>
          <w:b/>
          <w:bCs/>
        </w:rPr>
        <w:t xml:space="preserve">Outputs: </w:t>
      </w:r>
      <w:r>
        <w:rPr>
          <w:rFonts w:ascii="Consolas" w:cs="Consolas" w:eastAsia="Consolas" w:hAnsi="Consolas"/>
          <w:sz w:val="18"/>
          <w:szCs w:val="18"/>
        </w:rPr>
        <w:t xml:space="preserve">{'n_claims_to_layer': 3, 'full_credibility_standard': 15, 'Z': 0.4472, 'note': 'Standard partial credibility formula applied.'}</w:t>
      </w:r>
    </w:p>
    <w:p>
      <w:pPr>
        <w:pStyle w:val="Heading3"/>
        <w:spacing w:after="100" w:before="200"/>
      </w:pPr>
      <w:r>
        <w:t xml:space="preserve">Step 25 — calculate_technical_price</w:t>
      </w:r>
    </w:p>
    <w:p>
      <w:pPr>
        <w:spacing w:after="60"/>
      </w:pPr>
      <w:r>
        <w:rPr>
          <w:b/>
          <w:bCs/>
        </w:rPr>
        <w:t xml:space="preserve">Inputs: </w:t>
      </w:r>
      <w:r>
        <w:rPr>
          <w:rFonts w:ascii="Consolas" w:cs="Consolas" w:eastAsia="Consolas" w:hAnsi="Consolas"/>
          <w:sz w:val="18"/>
          <w:szCs w:val="18"/>
        </w:rPr>
        <w:t xml:space="preserve">{'experience_indication_loss_cost': 10788279.065572, 'exposure_indication_loss_cost': 11250000.0, 'Z': 0.4472, 'onlevel_premium': 8372093.02}</w:t>
      </w:r>
    </w:p>
    <w:p>
      <w:pPr>
        <w:spacing w:after="200"/>
      </w:pPr>
      <w:r>
        <w:rPr>
          <w:b/>
          <w:bCs/>
        </w:rPr>
        <w:t xml:space="preserve">Outputs: </w:t>
      </w:r>
      <w:r>
        <w:rPr>
          <w:rFonts w:ascii="Consolas" w:cs="Consolas" w:eastAsia="Consolas" w:hAnsi="Consolas"/>
          <w:sz w:val="18"/>
          <w:szCs w:val="18"/>
        </w:rPr>
        <w:t xml:space="preserve">{'blended_expected_loss_cost': 11043518.4, 'expense_pct': 0.1, 'admin_pct': 0.015, 'capital_load_pct_of_loss_cost': 0.12, 'capital_load_amount': 1325222.21, 'target_margin_pct': 0.06, 'technical_premium': 14992412.86, 'technical_price_as_pct_of_onlevel_premium': 1.7908}</w:t>
      </w:r>
    </w:p>
    <w:p>
      <w:pPr>
        <w:pStyle w:val="Heading3"/>
        <w:spacing w:after="100" w:before="200"/>
      </w:pPr>
      <w:r>
        <w:t xml:space="preserve">Step 26 — trend_and_onlevel_claims</w:t>
      </w:r>
    </w:p>
    <w:p>
      <w:pPr>
        <w:spacing w:after="60"/>
      </w:pPr>
      <w:r>
        <w:rPr>
          <w:b/>
          <w:bCs/>
        </w:rPr>
        <w:t xml:space="preserve">Inputs: </w:t>
      </w:r>
      <w:r>
        <w:rPr>
          <w:rFonts w:ascii="Consolas" w:cs="Consolas" w:eastAsia="Consolas" w:hAnsi="Consolas"/>
          <w:sz w:val="18"/>
          <w:szCs w:val="18"/>
        </w:rPr>
        <w:t xml:space="preserve">{'losses_by_year': {2017: [{'event': 'Hurricane A', 'amount': 20000000}], 2018: [], 2019: [{'event': 'Windstorm B', 'amount': 65000000}], 2020: [], 2021: [{'event': 'Hurricane C', 'amount': 110000000}], 2022: [], 2023: [{'event': 'Windstorm D', 'amount': 15000000}], 2024: [], 2025: [{'event': 'Hurricane E', 'amount': 78000000}], 2026: [{'event': 'Windstorm F', 'amount': 5000000}]}, 'premium_by_year': {2017: 5400000, 2018: 5600000, 2019: 5900000, 2020: 6100000, 2021: 6400000, 2022: 6800000, 2023: 7100000, 2024: 7400000, 2025: 7700000, 2026: 8000000}, 'tiv_by_year': {2017: 8200000000, 2018: 8500000000, 2019: 8900000000, 2020: 9300000000, 2021: 9800000000, 2022: 10400000000, 2023: 11000000000, 2024: 11700000000, 2025: 12300000000, 2026: 12900000000, 2027: 13500000000}, 'current_year': 2027, 'peril': 'wind'}</w:t>
      </w:r>
    </w:p>
    <w:p>
      <w:pPr>
        <w:spacing w:after="200"/>
      </w:pPr>
      <w:r>
        <w:rPr>
          <w:b/>
          <w:bCs/>
        </w:rPr>
        <w:t xml:space="preserve">Outputs: </w:t>
      </w:r>
      <w:r>
        <w:rPr>
          <w:rFonts w:ascii="Consolas" w:cs="Consolas" w:eastAsia="Consolas" w:hAnsi="Consolas"/>
          <w:sz w:val="18"/>
          <w:szCs w:val="18"/>
        </w:rPr>
        <w:t xml:space="preserve">{'peril': 'wind', 'loss_trend_used': 0.06, 'tiv_trend_used': 0.04, 'trended_events_by_year': {2017: [{'event': 'Hurricane A', 'amount': 20000000, 'trended_amount': 35816953.93}], 2018: [], 2019: [{'event': 'Windstorm B', 'amount': 65000000, 'trended_amount': 103600124.84}], 2020: [], 2021: [{'event': 'Hurricane C', 'amount': 110000000, 'trended_amount': 156037102.35}], 2022: [], 2023: [{'event': 'Windstorm D', 'amount': 15000000, 'trended_amount': 18937154.4}], 2024: [], 2025: [{'event': 'Hurricane E', 'amount': 78000000, 'trended_amount': 87640800.0}], 2026: [{'event': 'Windstorm F', 'amount': 5000000, 'trended_amount': 5300000.0}]}, 'onlevel_premium_by_year': {2017: 8890243.9, 2018: 8894117.65, 2019: 8949438.2, 2020: 8854838.71, 2021: 8816326.53, 2022: 8826923.08, 2023: 8713636.36, 2024: 8538461.54, 2025: 8451219.51, 2026: 8372093.02}}</w:t>
      </w:r>
    </w:p>
    <w:p>
      <w:pPr>
        <w:pStyle w:val="Heading3"/>
        <w:spacing w:after="100" w:before="200"/>
      </w:pPr>
      <w:r>
        <w:t xml:space="preserve">Step 27 — apply_treaty_structure_to_losses</w:t>
      </w:r>
    </w:p>
    <w:p>
      <w:pPr>
        <w:spacing w:after="60"/>
      </w:pPr>
      <w:r>
        <w:rPr>
          <w:b/>
          <w:bCs/>
        </w:rPr>
        <w:t xml:space="preserve">Inputs: </w:t>
      </w:r>
      <w:r>
        <w:rPr>
          <w:rFonts w:ascii="Consolas" w:cs="Consolas" w:eastAsia="Consolas" w:hAnsi="Consolas"/>
          <w:sz w:val="18"/>
          <w:szCs w:val="18"/>
        </w:rPr>
        <w:t xml:space="preserve">({2017: [{'event': 'Hurricane A', 'amount': 20000000, 'trended_amount': 35816953.93}], 2018: [], 2019: [{'event': 'Windstorm B', 'amount': 65000000, 'trended_amount': 103600124.84}], 2020: [], 2021: [{'event': 'Hurricane C', 'amount': 110000000, 'trended_amount': 156037102.35}], 2022: [], 2023: [{'event': 'Windstorm D', 'amount': 15000000, 'trended_amount': 18937154.4}], 2024: [], 2025: [{'event': 'Hurricane E', 'amount': 78000000, 'trended_amount': 87640800.0}], 2026: [{'event': 'Windstorm F', 'amount': 5000000, 'trended_amount': 5300000.0}]}, {'attachment': 50000000, 'limit': 62500000.0, 'reinstatements': 1, 'reinstatement_cost_pct': 1.0})</w:t>
      </w:r>
    </w:p>
    <w:p>
      <w:pPr>
        <w:spacing w:after="200"/>
      </w:pPr>
      <w:r>
        <w:rPr>
          <w:b/>
          <w:bCs/>
        </w:rPr>
        <w:t xml:space="preserve">Outputs: </w:t>
      </w:r>
      <w:r>
        <w:rPr>
          <w:rFonts w:ascii="Consolas" w:cs="Consolas" w:eastAsia="Consolas" w:hAnsi="Consolas"/>
          <w:sz w:val="18"/>
          <w:szCs w:val="18"/>
        </w:rPr>
        <w:t xml:space="preserve">{'attachment': 50000000, 'limit': 62500000.0, 'reinstatements': 1, 'annual_aggregate_limit': 125000000.0, 'losses_to_layer_by_year': {2017: 0.0, 2018: 0.0, 2019: 53600124.84, 2020: 0.0, 2021: 62500000.0, 2022: 0.0, 2023: 0.0, 2024: 0.0, 2025: 37640800.0, 2026: 0.0}, 'event_detail_by_year': {2017: [{'event': 'Hurricane A', 'amount': 20000000, 'trended_amount': 35816953.93, 'loss_to_layer': 0.0}], 2018: [], 2019: [{'event': 'Windstorm B', 'amount': 65000000, 'trended_amount': 103600124.84, 'loss_to_layer': 53600124.84}], 2020: [], 2021: [{'event': 'Hurricane C', 'amount': 110000000, 'trended_amount': 156037102.35, 'loss_to_layer': 62500000.0}], 2022: [], 2023: [{'event': 'Windstorm D', 'amount': 15000000, 'trended_amount': 18937154.4, 'loss_to_layer': 0.0}], 2024: [], 2025: [{'event': 'Hurricane E', 'amount': 78000000, 'trended_amount': 87640800.0, 'loss_to_layer': 37640800.0}], 2026: [{'event': 'Windstorm F', 'amount': 5000000, 'trended_amount': 5300000.0, 'loss_to_layer': 0.0}]}}</w:t>
      </w:r>
    </w:p>
    <w:p>
      <w:pPr>
        <w:pStyle w:val="Heading3"/>
        <w:spacing w:after="100" w:before="200"/>
      </w:pPr>
      <w:r>
        <w:t xml:space="preserve">Step 28 — calculate_burning_cost</w:t>
      </w:r>
    </w:p>
    <w:p>
      <w:pPr>
        <w:spacing w:after="60"/>
      </w:pPr>
      <w:r>
        <w:rPr>
          <w:b/>
          <w:bCs/>
        </w:rPr>
        <w:t xml:space="preserve">Inputs: </w:t>
      </w:r>
      <w:r>
        <w:rPr>
          <w:rFonts w:ascii="Consolas" w:cs="Consolas" w:eastAsia="Consolas" w:hAnsi="Consolas"/>
          <w:sz w:val="18"/>
          <w:szCs w:val="18"/>
        </w:rPr>
        <w:t xml:space="preserve">({2017: 0.0, 2018: 0.0, 2019: 53600124.84, 2020: 0.0, 2021: 62500000.0, 2022: 0.0, 2023: 0.0, 2024: 0.0, 2025: 37640800.0, 2026: 0.0}, {2017: 8890243.9, 2018: 8894117.65, 2019: 8949438.2, 2020: 8854838.71, 2021: 8816326.53, 2022: 8826923.08, 2023: 8713636.36, 2024: 8538461.54, 2025: 8451219.51, 2026: 8372093.02})</w:t>
      </w:r>
    </w:p>
    <w:p>
      <w:pPr>
        <w:spacing w:after="200"/>
      </w:pPr>
      <w:r>
        <w:rPr>
          <w:b/>
          <w:bCs/>
        </w:rPr>
        <w:t xml:space="preserve">Outputs: </w:t>
      </w:r>
      <w:r>
        <w:rPr>
          <w:rFonts w:ascii="Consolas" w:cs="Consolas" w:eastAsia="Consolas" w:hAnsi="Consolas"/>
          <w:sz w:val="18"/>
          <w:szCs w:val="18"/>
        </w:rPr>
        <w:t xml:space="preserve">{'years_used': [2017, 2018, 2019, 2020, 2021, 2022, 2023, 2024, 2025, 2026], 'annual_burning_cost_ratio': {2017: 0.0, 2018: 0.0, 2019: 5.9892, 2020: 0.0, 2021: 7.0891, 2022: 0.0, 2023: 0.0, 2024: 0.0, 2025: 4.4539, 2026: 0.0}, 'simple_average_burning_cost': 1.7532, 'premium_weighted_average_burning_cost': 1.7609, 'burning_cost_std_dev': 2.7427, 'experience_indication_premium_basis': 14742418.6}</w:t>
      </w:r>
    </w:p>
    <w:p>
      <w:pPr>
        <w:pStyle w:val="Heading3"/>
        <w:spacing w:after="100" w:before="200"/>
      </w:pPr>
      <w:r>
        <w:t xml:space="preserve">Step 29 — fit_frequency_severity_models</w:t>
      </w:r>
    </w:p>
    <w:p>
      <w:pPr>
        <w:spacing w:after="60"/>
      </w:pPr>
      <w:r>
        <w:rPr>
          <w:b/>
          <w:bCs/>
        </w:rPr>
        <w:t xml:space="preserve">Inputs: </w:t>
      </w:r>
      <w:r>
        <w:rPr>
          <w:rFonts w:ascii="Consolas" w:cs="Consolas" w:eastAsia="Consolas" w:hAnsi="Consolas"/>
          <w:sz w:val="18"/>
          <w:szCs w:val="18"/>
        </w:rPr>
        <w:t xml:space="preserve">({2017: [{'event': 'Hurricane A', 'amount': 20000000, 'trended_amount': 35816953.93, 'loss_to_layer': 0.0}], 2018: [], 2019: [{'event': 'Windstorm B', 'amount': 65000000, 'trended_amount': 103600124.84, 'loss_to_layer': 53600124.84}], 2020: [], 2021: [{'event': 'Hurricane C', 'amount': 110000000, 'trended_amount': 156037102.35, 'loss_to_layer': 62500000.0}], 2022: [], 2023: [{'event': 'Windstorm D', 'amount': 15000000, 'trended_amount': 18937154.4, 'loss_to_layer': 0.0}], 2024: [], 2025: [{'event': 'Hurricane E', 'amount': 78000000, 'trended_amount': 87640800.0, 'loss_to_layer': 37640800.0}], 2026: [{'event': 'Windstorm F', 'amount': 5000000, 'trended_amount': 5300000.0, 'loss_to_layer': 0.0}]}, 8372093.02)</w:t>
      </w:r>
    </w:p>
    <w:p>
      <w:pPr>
        <w:spacing w:after="200"/>
      </w:pPr>
      <w:r>
        <w:rPr>
          <w:b/>
          <w:bCs/>
        </w:rPr>
        <w:t xml:space="preserve">Outputs: </w:t>
      </w:r>
      <w:r>
        <w:rPr>
          <w:rFonts w:ascii="Consolas" w:cs="Consolas" w:eastAsia="Consolas" w:hAnsi="Consolas"/>
          <w:sz w:val="18"/>
          <w:szCs w:val="18"/>
        </w:rPr>
        <w:t xml:space="preserve">{'n_claims_to_layer': 3, 'n_years': 10, 'frequency_lambda': 0.3, 'severity_lognormal_mu': 17.7228, 'severity_lognormal_sigma': 0.2422, 'expected_severity_to_layer': 51246974.95, 'modeled_expected_annual_loss_to_layer': 15374092.48, 'exposure_indication_loss_cost_ratio': 1.8363}</w:t>
      </w:r>
    </w:p>
    <w:p>
      <w:pPr>
        <w:pStyle w:val="Heading3"/>
        <w:spacing w:after="100" w:before="200"/>
      </w:pPr>
      <w:r>
        <w:t xml:space="preserve">Step 30 — calculate_credibility_weight</w:t>
      </w:r>
    </w:p>
    <w:p>
      <w:pPr>
        <w:spacing w:after="60"/>
      </w:pPr>
      <w:r>
        <w:rPr>
          <w:b/>
          <w:bCs/>
        </w:rPr>
        <w:t xml:space="preserve">Inputs: </w:t>
      </w:r>
      <w:r>
        <w:rPr>
          <w:rFonts w:ascii="Consolas" w:cs="Consolas" w:eastAsia="Consolas" w:hAnsi="Consolas"/>
          <w:sz w:val="18"/>
          <w:szCs w:val="18"/>
        </w:rPr>
        <w:t xml:space="preserve">(3,)</w:t>
      </w:r>
    </w:p>
    <w:p>
      <w:pPr>
        <w:spacing w:after="200"/>
      </w:pPr>
      <w:r>
        <w:rPr>
          <w:b/>
          <w:bCs/>
        </w:rPr>
        <w:t xml:space="preserve">Outputs: </w:t>
      </w:r>
      <w:r>
        <w:rPr>
          <w:rFonts w:ascii="Consolas" w:cs="Consolas" w:eastAsia="Consolas" w:hAnsi="Consolas"/>
          <w:sz w:val="18"/>
          <w:szCs w:val="18"/>
        </w:rPr>
        <w:t xml:space="preserve">{'n_claims_to_layer': 3, 'full_credibility_standard': 15, 'Z': 0.4472, 'note': 'Standard partial credibility formula applied.'}</w:t>
      </w:r>
    </w:p>
    <w:p>
      <w:pPr>
        <w:pStyle w:val="Heading3"/>
        <w:spacing w:after="100" w:before="200"/>
      </w:pPr>
      <w:r>
        <w:t xml:space="preserve">Step 31 — calculate_technical_price</w:t>
      </w:r>
    </w:p>
    <w:p>
      <w:pPr>
        <w:spacing w:after="60"/>
      </w:pPr>
      <w:r>
        <w:rPr>
          <w:b/>
          <w:bCs/>
        </w:rPr>
        <w:t xml:space="preserve">Inputs: </w:t>
      </w:r>
      <w:r>
        <w:rPr>
          <w:rFonts w:ascii="Consolas" w:cs="Consolas" w:eastAsia="Consolas" w:hAnsi="Consolas"/>
          <w:sz w:val="18"/>
          <w:szCs w:val="18"/>
        </w:rPr>
        <w:t xml:space="preserve">{'experience_indication_loss_cost': 14742418.598917998, 'exposure_indication_loss_cost': 15374092.48, 'Z': 0.4472, 'onlevel_premium': 8372093.02}</w:t>
      </w:r>
    </w:p>
    <w:p>
      <w:pPr>
        <w:spacing w:after="200"/>
      </w:pPr>
      <w:r>
        <w:rPr>
          <w:b/>
          <w:bCs/>
        </w:rPr>
        <w:t xml:space="preserve">Outputs: </w:t>
      </w:r>
      <w:r>
        <w:rPr>
          <w:rFonts w:ascii="Consolas" w:cs="Consolas" w:eastAsia="Consolas" w:hAnsi="Consolas"/>
          <w:sz w:val="18"/>
          <w:szCs w:val="18"/>
        </w:rPr>
        <w:t xml:space="preserve">{'blended_expected_loss_cost': 15091607.92, 'expense_pct': 0.1, 'admin_pct': 0.015, 'capital_load_pct_of_loss_cost': 0.12, 'capital_load_amount': 1810992.95, 'target_margin_pct': 0.06, 'technical_premium': 20488001.05, 'technical_price_as_pct_of_onlevel_premium': 2.4472}</w:t>
      </w:r>
    </w:p>
    <w:p>
      <w:pPr>
        <w:pStyle w:val="Heading3"/>
        <w:spacing w:after="100" w:before="200"/>
      </w:pPr>
      <w:r>
        <w:t xml:space="preserve">Step 32 — trend_and_onlevel_claims</w:t>
      </w:r>
    </w:p>
    <w:p>
      <w:pPr>
        <w:spacing w:after="60"/>
      </w:pPr>
      <w:r>
        <w:rPr>
          <w:b/>
          <w:bCs/>
        </w:rPr>
        <w:t xml:space="preserve">Inputs: </w:t>
      </w:r>
      <w:r>
        <w:rPr>
          <w:rFonts w:ascii="Consolas" w:cs="Consolas" w:eastAsia="Consolas" w:hAnsi="Consolas"/>
          <w:sz w:val="18"/>
          <w:szCs w:val="18"/>
        </w:rPr>
        <w:t xml:space="preserve">{'losses_by_year': {2017: [{'event': 'Hurricane A', 'amount': 20000000}], 2018: [], 2019: [{'event': 'Windstorm B', 'amount': 65000000}], 2020: [], 2021: [{'event': 'Hurricane C', 'amount': 110000000}], 2022: [], 2023: [{'event': 'Windstorm D', 'amount': 15000000}], 2024: [], 2025: [{'event': 'Hurricane E', 'amount': 78000000}], 2026: [{'event': 'Windstorm F', 'amount': 5000000}]}, 'premium_by_year': {2017: 5400000, 2018: 5600000, 2019: 5900000, 2020: 6100000, 2021: 6400000, 2022: 6800000, 2023: 7100000, 2024: 7400000, 2025: 7700000, 2026: 8000000}, 'tiv_by_year': {2017: 8200000000, 2018: 8500000000, 2019: 8900000000, 2020: 9300000000, 2021: 9800000000, 2022: 10400000000, 2023: 11000000000, 2024: 11700000000, 2025: 12300000000, 2026: 12900000000, 2027: 13500000000}, 'current_year': 2027, 'peril': 'wind'}</w:t>
      </w:r>
    </w:p>
    <w:p>
      <w:pPr>
        <w:spacing w:after="200"/>
      </w:pPr>
      <w:r>
        <w:rPr>
          <w:b/>
          <w:bCs/>
        </w:rPr>
        <w:t xml:space="preserve">Outputs: </w:t>
      </w:r>
      <w:r>
        <w:rPr>
          <w:rFonts w:ascii="Consolas" w:cs="Consolas" w:eastAsia="Consolas" w:hAnsi="Consolas"/>
          <w:sz w:val="18"/>
          <w:szCs w:val="18"/>
        </w:rPr>
        <w:t xml:space="preserve">{'peril': 'wind', 'loss_trend_used': 0.06, 'tiv_trend_used': 0.04, 'trended_events_by_year': {2017: [{'event': 'Hurricane A', 'amount': 20000000, 'trended_amount': 35100614.85}], 2018: [], 2019: [{'event': 'Windstorm B', 'amount': 65000000, 'trended_amount': 101528122.34}], 2020: [], 2021: [{'event': 'Hurricane C', 'amount': 110000000, 'trended_amount': 152916360.3}], 2022: [], 2023: [{'event': 'Windstorm D', 'amount': 15000000, 'trended_amount': 18558411.31}], 2024: [], 2025: [{'event': 'Hurricane E', 'amount': 78000000, 'trended_amount': 85887984.0}], 2026: [{'event': 'Windstorm F', 'amount': 5000000, 'trended_amount': 5194000.0}]}, 'onlevel_premium_by_year': {2017: 8890243.9, 2018: 8894117.65, 2019: 8949438.2, 2020: 8854838.71, 2021: 8816326.53, 2022: 8826923.08, 2023: 8713636.36, 2024: 8538461.54, 2025: 8451219.51, 2026: 8372093.02}}</w:t>
      </w:r>
    </w:p>
    <w:p>
      <w:pPr>
        <w:pStyle w:val="Heading3"/>
        <w:spacing w:after="100" w:before="200"/>
      </w:pPr>
      <w:r>
        <w:t xml:space="preserve">Step 33 — apply_treaty_structure_to_losses</w:t>
      </w:r>
    </w:p>
    <w:p>
      <w:pPr>
        <w:spacing w:after="60"/>
      </w:pPr>
      <w:r>
        <w:rPr>
          <w:b/>
          <w:bCs/>
        </w:rPr>
        <w:t xml:space="preserve">Inputs: </w:t>
      </w:r>
      <w:r>
        <w:rPr>
          <w:rFonts w:ascii="Consolas" w:cs="Consolas" w:eastAsia="Consolas" w:hAnsi="Consolas"/>
          <w:sz w:val="18"/>
          <w:szCs w:val="18"/>
        </w:rPr>
        <w:t xml:space="preserve">({2017: [{'event': 'Hurricane A', 'amount': 20000000, 'trended_amount': 35100614.85}], 2018: [], 2019: [{'event': 'Windstorm B', 'amount': 65000000, 'trended_amount': 101528122.34}], 2020: [], 2021: [{'event': 'Hurricane C', 'amount': 110000000, 'trended_amount': 152916360.3}], 2022: [], 2023: [{'event': 'Windstorm D', 'amount': 15000000, 'trended_amount': 18558411.31}], 2024: [], 2025: [{'event': 'Hurricane E', 'amount': 78000000, 'trended_amount': 85887984.0}], 2026: [{'event': 'Windstorm F', 'amount': 5000000, 'trended_amount': 5194000.0}]}, {'attachment': 50000000, 'limit': 50000000, 'reinstatements': 1, 'reinstatement_cost_pct': 1.0})</w:t>
      </w:r>
    </w:p>
    <w:p>
      <w:pPr>
        <w:spacing w:after="200"/>
      </w:pPr>
      <w:r>
        <w:rPr>
          <w:b/>
          <w:bCs/>
        </w:rPr>
        <w:t xml:space="preserve">Outputs: </w:t>
      </w:r>
      <w:r>
        <w:rPr>
          <w:rFonts w:ascii="Consolas" w:cs="Consolas" w:eastAsia="Consolas" w:hAnsi="Consolas"/>
          <w:sz w:val="18"/>
          <w:szCs w:val="18"/>
        </w:rPr>
        <w:t xml:space="preserve">{'attachment': 50000000, 'limit': 50000000, 'reinstatements': 1, 'annual_aggregate_limit': 100000000, 'losses_to_layer_by_year': {2017: 0.0, 2018: 0.0, 2019: 50000000.0, 2020: 0.0, 2021: 50000000.0, 2022: 0.0, 2023: 0.0, 2024: 0.0, 2025: 35887984.0, 2026: 0.0}, 'event_detail_by_year': {2017: [{'event': 'Hurricane A', 'amount': 20000000, 'trended_amount': 35100614.85, 'loss_to_layer': 0.0}], 2018: [], 2019: [{'event': 'Windstorm B', 'amount': 65000000, 'trended_amount': 101528122.34, 'loss_to_layer': 50000000}], 2020: [], 2021: [{'event': 'Hurricane C', 'amount': 110000000, 'trended_amount': 152916360.3, 'loss_to_layer': 50000000}], 2022: [], 2023: [{'event': 'Windstorm D', 'amount': 15000000, 'trended_amount': 18558411.31, 'loss_to_layer': 0.0}], 2024: [], 2025: [{'event': 'Hurricane E', 'amount': 78000000, 'trended_amount': 85887984.0, 'loss_to_layer': 35887984.0}], 2026: [{'event': 'Windstorm F', 'amount': 5000000, 'trended_amount': 5194000.0, 'loss_to_layer': 0.0}]}}</w:t>
      </w:r>
    </w:p>
    <w:p>
      <w:pPr>
        <w:pStyle w:val="Heading3"/>
        <w:spacing w:after="100" w:before="200"/>
      </w:pPr>
      <w:r>
        <w:t xml:space="preserve">Step 34 — calculate_burning_cost</w:t>
      </w:r>
    </w:p>
    <w:p>
      <w:pPr>
        <w:spacing w:after="60"/>
      </w:pPr>
      <w:r>
        <w:rPr>
          <w:b/>
          <w:bCs/>
        </w:rPr>
        <w:t xml:space="preserve">Inputs: </w:t>
      </w:r>
      <w:r>
        <w:rPr>
          <w:rFonts w:ascii="Consolas" w:cs="Consolas" w:eastAsia="Consolas" w:hAnsi="Consolas"/>
          <w:sz w:val="18"/>
          <w:szCs w:val="18"/>
        </w:rPr>
        <w:t xml:space="preserve">({2017: 0.0, 2018: 0.0, 2019: 50000000.0, 2020: 0.0, 2021: 50000000.0, 2022: 0.0, 2023: 0.0, 2024: 0.0, 2025: 35887984.0, 2026: 0.0}, {2017: 8890243.9, 2018: 8894117.65, 2019: 8949438.2, 2020: 8854838.71, 2021: 8816326.53, 2022: 8826923.08, 2023: 8713636.36, 2024: 8538461.54, 2025: 8451219.51, 2026: 8372093.02})</w:t>
      </w:r>
    </w:p>
    <w:p>
      <w:pPr>
        <w:spacing w:after="200"/>
      </w:pPr>
      <w:r>
        <w:rPr>
          <w:b/>
          <w:bCs/>
        </w:rPr>
        <w:t xml:space="preserve">Outputs: </w:t>
      </w:r>
      <w:r>
        <w:rPr>
          <w:rFonts w:ascii="Consolas" w:cs="Consolas" w:eastAsia="Consolas" w:hAnsi="Consolas"/>
          <w:sz w:val="18"/>
          <w:szCs w:val="18"/>
        </w:rPr>
        <w:t xml:space="preserve">{'years_used': [2017, 2018, 2019, 2020, 2021, 2022, 2023, 2024, 2025, 2026], 'annual_burning_cost_ratio': {2017: 0.0, 2018: 0.0, 2019: 5.5869, 2020: 0.0, 2021: 5.6713, 2022: 0.0, 2023: 0.0, 2024: 0.0, 2025: 4.2465, 2026: 0.0}, 'simple_average_burning_cost': 1.5505, 'premium_weighted_average_burning_cost': 1.5564, 'burning_cost_std_dev': 2.3952, 'experience_indication_premium_basis': 13030325.58}</w:t>
      </w:r>
    </w:p>
    <w:p>
      <w:pPr>
        <w:pStyle w:val="Heading3"/>
        <w:spacing w:after="100" w:before="200"/>
      </w:pPr>
      <w:r>
        <w:t xml:space="preserve">Step 35 — fit_frequency_severity_models</w:t>
      </w:r>
    </w:p>
    <w:p>
      <w:pPr>
        <w:spacing w:after="60"/>
      </w:pPr>
      <w:r>
        <w:rPr>
          <w:b/>
          <w:bCs/>
        </w:rPr>
        <w:t xml:space="preserve">Inputs: </w:t>
      </w:r>
      <w:r>
        <w:rPr>
          <w:rFonts w:ascii="Consolas" w:cs="Consolas" w:eastAsia="Consolas" w:hAnsi="Consolas"/>
          <w:sz w:val="18"/>
          <w:szCs w:val="18"/>
        </w:rPr>
        <w:t xml:space="preserve">({2017: [{'event': 'Hurricane A', 'amount': 20000000, 'trended_amount': 35100614.85, 'loss_to_layer': 0.0}], 2018: [], 2019: [{'event': 'Windstorm B', 'amount': 65000000, 'trended_amount': 101528122.34, 'loss_to_layer': 50000000}], 2020: [], 2021: [{'event': 'Hurricane C', 'amount': 110000000, 'trended_amount': 152916360.3, 'loss_to_layer': 50000000}], 2022: [], 2023: [{'event': 'Windstorm D', 'amount': 15000000, 'trended_amount': 18558411.31, 'loss_to_layer': 0.0}], 2024: [], 2025: [{'event': 'Hurricane E', 'amount': 78000000, 'trended_amount': 85887984.0, 'loss_to_layer': 35887984.0}], 2026: [{'event': 'Windstorm F', 'amount': 5000000, 'trended_amount': 5194000.0, 'loss_to_layer': 0.0}]}, 8372093.02)</w:t>
      </w:r>
    </w:p>
    <w:p>
      <w:pPr>
        <w:spacing w:after="200"/>
      </w:pPr>
      <w:r>
        <w:rPr>
          <w:b/>
          <w:bCs/>
        </w:rPr>
        <w:t xml:space="preserve">Outputs: </w:t>
      </w:r>
      <w:r>
        <w:rPr>
          <w:rFonts w:ascii="Consolas" w:cs="Consolas" w:eastAsia="Consolas" w:hAnsi="Consolas"/>
          <w:sz w:val="18"/>
          <w:szCs w:val="18"/>
        </w:rPr>
        <w:t xml:space="preserve">{'n_claims_to_layer': 3, 'n_years': 10, 'frequency_lambda': 0.3, 'severity_lognormal_mu': 17.6128, 'severity_lognormal_sigma': 0.1784, 'expected_severity_to_layer': 45295994.67, 'modeled_expected_annual_loss_to_layer': 13588798.4, 'exposure_indication_loss_cost_ratio': 1.6231}</w:t>
      </w:r>
    </w:p>
    <w:p>
      <w:pPr>
        <w:pStyle w:val="Heading3"/>
        <w:spacing w:after="100" w:before="200"/>
      </w:pPr>
      <w:r>
        <w:t xml:space="preserve">Step 36 — calculate_credibility_weight</w:t>
      </w:r>
    </w:p>
    <w:p>
      <w:pPr>
        <w:spacing w:after="60"/>
      </w:pPr>
      <w:r>
        <w:rPr>
          <w:b/>
          <w:bCs/>
        </w:rPr>
        <w:t xml:space="preserve">Inputs: </w:t>
      </w:r>
      <w:r>
        <w:rPr>
          <w:rFonts w:ascii="Consolas" w:cs="Consolas" w:eastAsia="Consolas" w:hAnsi="Consolas"/>
          <w:sz w:val="18"/>
          <w:szCs w:val="18"/>
        </w:rPr>
        <w:t xml:space="preserve">(3,)</w:t>
      </w:r>
    </w:p>
    <w:p>
      <w:pPr>
        <w:spacing w:after="200"/>
      </w:pPr>
      <w:r>
        <w:rPr>
          <w:b/>
          <w:bCs/>
        </w:rPr>
        <w:t xml:space="preserve">Outputs: </w:t>
      </w:r>
      <w:r>
        <w:rPr>
          <w:rFonts w:ascii="Consolas" w:cs="Consolas" w:eastAsia="Consolas" w:hAnsi="Consolas"/>
          <w:sz w:val="18"/>
          <w:szCs w:val="18"/>
        </w:rPr>
        <w:t xml:space="preserve">{'n_claims_to_layer': 3, 'full_credibility_standard': 15, 'Z': 0.4472, 'note': 'Standard partial credibility formula applied.'}</w:t>
      </w:r>
    </w:p>
    <w:p>
      <w:pPr>
        <w:pStyle w:val="Heading3"/>
        <w:spacing w:after="100" w:before="200"/>
      </w:pPr>
      <w:r>
        <w:t xml:space="preserve">Step 37 — calculate_technical_price</w:t>
      </w:r>
    </w:p>
    <w:p>
      <w:pPr>
        <w:spacing w:after="60"/>
      </w:pPr>
      <w:r>
        <w:rPr>
          <w:b/>
          <w:bCs/>
        </w:rPr>
        <w:t xml:space="preserve">Inputs: </w:t>
      </w:r>
      <w:r>
        <w:rPr>
          <w:rFonts w:ascii="Consolas" w:cs="Consolas" w:eastAsia="Consolas" w:hAnsi="Consolas"/>
          <w:sz w:val="18"/>
          <w:szCs w:val="18"/>
        </w:rPr>
        <w:t xml:space="preserve">{'experience_indication_loss_cost': 13030325.576328, 'exposure_indication_loss_cost': 13588798.4, 'Z': 0.4472, 'onlevel_premium': 8372093.02}</w:t>
      </w:r>
    </w:p>
    <w:p>
      <w:pPr>
        <w:spacing w:after="200"/>
      </w:pPr>
      <w:r>
        <w:rPr>
          <w:b/>
          <w:bCs/>
        </w:rPr>
        <w:t xml:space="preserve">Outputs: </w:t>
      </w:r>
      <w:r>
        <w:rPr>
          <w:rFonts w:ascii="Consolas" w:cs="Consolas" w:eastAsia="Consolas" w:hAnsi="Consolas"/>
          <w:sz w:val="18"/>
          <w:szCs w:val="18"/>
        </w:rPr>
        <w:t xml:space="preserve">{'blended_expected_loss_cost': 13339049.35, 'expense_pct': 0.1, 'admin_pct': 0.015, 'capital_load_pct_of_loss_cost': 0.12, 'capital_load_amount': 1600685.92, 'target_margin_pct': 0.06, 'technical_premium': 18108770.02, 'technical_price_as_pct_of_onlevel_premium': 2.163}</w:t>
      </w:r>
    </w:p>
    <w:p>
      <w:pPr>
        <w:pStyle w:val="Heading3"/>
        <w:spacing w:after="100" w:before="200"/>
      </w:pPr>
      <w:r>
        <w:t xml:space="preserve">Step 38 — trend_and_onlevel_claims</w:t>
      </w:r>
    </w:p>
    <w:p>
      <w:pPr>
        <w:spacing w:after="60"/>
      </w:pPr>
      <w:r>
        <w:rPr>
          <w:b/>
          <w:bCs/>
        </w:rPr>
        <w:t xml:space="preserve">Inputs: </w:t>
      </w:r>
      <w:r>
        <w:rPr>
          <w:rFonts w:ascii="Consolas" w:cs="Consolas" w:eastAsia="Consolas" w:hAnsi="Consolas"/>
          <w:sz w:val="18"/>
          <w:szCs w:val="18"/>
        </w:rPr>
        <w:t xml:space="preserve">{'losses_by_year': {2017: [{'event': 'Hurricane A', 'amount': 20000000}], 2018: [], 2019: [{'event': 'Windstorm B', 'amount': 65000000}], 2020: [], 2021: [{'event': 'Hurricane C', 'amount': 110000000}], 2022: [], 2023: [{'event': 'Windstorm D', 'amount': 15000000}], 2024: [], 2025: [{'event': 'Hurricane E', 'amount': 78000000}], 2026: [{'event': 'Windstorm F', 'amount': 5000000}]}, 'premium_by_year': {2017: 5400000, 2018: 5600000, 2019: 5900000, 2020: 6100000, 2021: 6400000, 2022: 6800000, 2023: 7100000, 2024: 7400000, 2025: 7700000, 2026: 8000000}, 'tiv_by_year': {2017: 8200000000, 2018: 8500000000, 2019: 8900000000, 2020: 9300000000, 2021: 9800000000, 2022: 10400000000, 2023: 11000000000, 2024: 11700000000, 2025: 12300000000, 2026: 12900000000, 2027: 13500000000}, 'current_year': 2027, 'peril': 'wind'}</w:t>
      </w:r>
    </w:p>
    <w:p>
      <w:pPr>
        <w:spacing w:after="200"/>
      </w:pPr>
      <w:r>
        <w:rPr>
          <w:b/>
          <w:bCs/>
        </w:rPr>
        <w:t xml:space="preserve">Outputs: </w:t>
      </w:r>
      <w:r>
        <w:rPr>
          <w:rFonts w:ascii="Consolas" w:cs="Consolas" w:eastAsia="Consolas" w:hAnsi="Consolas"/>
          <w:sz w:val="18"/>
          <w:szCs w:val="18"/>
        </w:rPr>
        <w:t xml:space="preserve">{'peril': 'wind', 'loss_trend_used': 0.06, 'tiv_trend_used': 0.04, 'trended_events_by_year': {2017: [{'event': 'Hurricane A', 'amount': 20000000, 'trended_amount': 36533293.01}], 2018: [], 2019: [{'event': 'Windstorm B', 'amount': 65000000, 'trended_amount': 105672127.34}], 2020: [], 2021: [{'event': 'Hurricane C', 'amount': 110000000, 'trended_amount': 159157844.4}], 2022: [], 2023: [{'event': 'Windstorm D', 'amount': 15000000, 'trended_amount': 19315897.49}], 2024: [], 2025: [{'event': 'Hurricane E', 'amount': 78000000, 'trended_amount': 89393616.0}], 2026: [{'event': 'Windstorm F', 'amount': 5000000, 'trended_amount': 5406000.0}]}, 'onlevel_premium_by_year': {2017: 8890243.9, 2018: 8894117.65, 2019: 8949438.2, 2020: 8854838.71, 2021: 8816326.53, 2022: 8826923.08, 2023: 8713636.36, 2024: 8538461.54, 2025: 8451219.51, 2026: 8372093.02}}</w:t>
      </w:r>
    </w:p>
    <w:p>
      <w:pPr>
        <w:pStyle w:val="Heading3"/>
        <w:spacing w:after="100" w:before="200"/>
      </w:pPr>
      <w:r>
        <w:t xml:space="preserve">Step 39 — apply_treaty_structure_to_losses</w:t>
      </w:r>
    </w:p>
    <w:p>
      <w:pPr>
        <w:spacing w:after="60"/>
      </w:pPr>
      <w:r>
        <w:rPr>
          <w:b/>
          <w:bCs/>
        </w:rPr>
        <w:t xml:space="preserve">Inputs: </w:t>
      </w:r>
      <w:r>
        <w:rPr>
          <w:rFonts w:ascii="Consolas" w:cs="Consolas" w:eastAsia="Consolas" w:hAnsi="Consolas"/>
          <w:sz w:val="18"/>
          <w:szCs w:val="18"/>
        </w:rPr>
        <w:t xml:space="preserve">({2017: [{'event': 'Hurricane A', 'amount': 20000000, 'trended_amount': 36533293.01}], 2018: [], 2019: [{'event': 'Windstorm B', 'amount': 65000000, 'trended_amount': 105672127.34}], 2020: [], 2021: [{'event': 'Hurricane C', 'amount': 110000000, 'trended_amount': 159157844.4}], 2022: [], 2023: [{'event': 'Windstorm D', 'amount': 15000000, 'trended_amount': 19315897.49}], 2024: [], 2025: [{'event': 'Hurricane E', 'amount': 78000000, 'trended_amount': 89393616.0}], 2026: [{'event': 'Windstorm F', 'amount': 5000000, 'trended_amount': 5406000.0}]}, {'attachment': 50000000, 'limit': 50000000, 'reinstatements': 1, 'reinstatement_cost_pct': 1.0})</w:t>
      </w:r>
    </w:p>
    <w:p>
      <w:pPr>
        <w:spacing w:after="200"/>
      </w:pPr>
      <w:r>
        <w:rPr>
          <w:b/>
          <w:bCs/>
        </w:rPr>
        <w:t xml:space="preserve">Outputs: </w:t>
      </w:r>
      <w:r>
        <w:rPr>
          <w:rFonts w:ascii="Consolas" w:cs="Consolas" w:eastAsia="Consolas" w:hAnsi="Consolas"/>
          <w:sz w:val="18"/>
          <w:szCs w:val="18"/>
        </w:rPr>
        <w:t xml:space="preserve">{'attachment': 50000000, 'limit': 50000000, 'reinstatements': 1, 'annual_aggregate_limit': 100000000, 'losses_to_layer_by_year': {2017: 0.0, 2018: 0.0, 2019: 50000000.0, 2020: 0.0, 2021: 50000000.0, 2022: 0.0, 2023: 0.0, 2024: 0.0, 2025: 39393616.0, 2026: 0.0}, 'event_detail_by_year': {2017: [{'event': 'Hurricane A', 'amount': 20000000, 'trended_amount': 36533293.01, 'loss_to_layer': 0.0}], 2018: [], 2019: [{'event': 'Windstorm B', 'amount': 65000000, 'trended_amount': 105672127.34, 'loss_to_layer': 50000000}], 2020: [], 2021: [{'event': 'Hurricane C', 'amount': 110000000, 'trended_amount': 159157844.4, 'loss_to_layer': 50000000}], 2022: [], 2023: [{'event': 'Windstorm D', 'amount': 15000000, 'trended_amount': 19315897.49, 'loss_to_layer': 0.0}], 2024: [], 2025: [{'event': 'Hurricane E', 'amount': 78000000, 'trended_amount': 89393616.0, 'loss_to_layer': 39393616.0}], 2026: [{'event': 'Windstorm F', 'amount': 5000000, 'trended_amount': 5406000.0, 'loss_to_layer': 0.0}]}}</w:t>
      </w:r>
    </w:p>
    <w:p>
      <w:pPr>
        <w:pStyle w:val="Heading3"/>
        <w:spacing w:after="100" w:before="200"/>
      </w:pPr>
      <w:r>
        <w:t xml:space="preserve">Step 40 — calculate_burning_cost</w:t>
      </w:r>
    </w:p>
    <w:p>
      <w:pPr>
        <w:spacing w:after="60"/>
      </w:pPr>
      <w:r>
        <w:rPr>
          <w:b/>
          <w:bCs/>
        </w:rPr>
        <w:t xml:space="preserve">Inputs: </w:t>
      </w:r>
      <w:r>
        <w:rPr>
          <w:rFonts w:ascii="Consolas" w:cs="Consolas" w:eastAsia="Consolas" w:hAnsi="Consolas"/>
          <w:sz w:val="18"/>
          <w:szCs w:val="18"/>
        </w:rPr>
        <w:t xml:space="preserve">({2017: 0.0, 2018: 0.0, 2019: 50000000.0, 2020: 0.0, 2021: 50000000.0, 2022: 0.0, 2023: 0.0, 2024: 0.0, 2025: 39393616.0, 2026: 0.0}, {2017: 8890243.9, 2018: 8894117.65, 2019: 8949438.2, 2020: 8854838.71, 2021: 8816326.53, 2022: 8826923.08, 2023: 8713636.36, 2024: 8538461.54, 2025: 8451219.51, 2026: 8372093.02})</w:t>
      </w:r>
    </w:p>
    <w:p>
      <w:pPr>
        <w:spacing w:after="200"/>
      </w:pPr>
      <w:r>
        <w:rPr>
          <w:b/>
          <w:bCs/>
        </w:rPr>
        <w:t xml:space="preserve">Outputs: </w:t>
      </w:r>
      <w:r>
        <w:rPr>
          <w:rFonts w:ascii="Consolas" w:cs="Consolas" w:eastAsia="Consolas" w:hAnsi="Consolas"/>
          <w:sz w:val="18"/>
          <w:szCs w:val="18"/>
        </w:rPr>
        <w:t xml:space="preserve">{'years_used': [2017, 2018, 2019, 2020, 2021, 2022, 2023, 2024, 2025, 2026], 'annual_burning_cost_ratio': {2017: 0.0, 2018: 0.0, 2019: 5.5869, 2020: 0.0, 2021: 5.6713, 2022: 0.0, 2023: 0.0, 2024: 0.0, 2025: 4.6613, 2026: 0.0}, 'simple_average_burning_cost': 1.5919, 'premium_weighted_average_burning_cost': 1.5966, 'burning_cost_std_dev': 2.4446, 'experience_indication_premium_basis': 13366883.72}</w:t>
      </w:r>
    </w:p>
    <w:p>
      <w:pPr>
        <w:pStyle w:val="Heading3"/>
        <w:spacing w:after="100" w:before="200"/>
      </w:pPr>
      <w:r>
        <w:t xml:space="preserve">Step 41 — fit_frequency_severity_models</w:t>
      </w:r>
    </w:p>
    <w:p>
      <w:pPr>
        <w:spacing w:after="60"/>
      </w:pPr>
      <w:r>
        <w:rPr>
          <w:b/>
          <w:bCs/>
        </w:rPr>
        <w:t xml:space="preserve">Inputs: </w:t>
      </w:r>
      <w:r>
        <w:rPr>
          <w:rFonts w:ascii="Consolas" w:cs="Consolas" w:eastAsia="Consolas" w:hAnsi="Consolas"/>
          <w:sz w:val="18"/>
          <w:szCs w:val="18"/>
        </w:rPr>
        <w:t xml:space="preserve">({2017: [{'event': 'Hurricane A', 'amount': 20000000, 'trended_amount': 36533293.01, 'loss_to_layer': 0.0}], 2018: [], 2019: [{'event': 'Windstorm B', 'amount': 65000000, 'trended_amount': 105672127.34, 'loss_to_layer': 50000000}], 2020: [], 2021: [{'event': 'Hurricane C', 'amount': 110000000, 'trended_amount': 159157844.4, 'loss_to_layer': 50000000}], 2022: [], 2023: [{'event': 'Windstorm D', 'amount': 15000000, 'trended_amount': 19315897.49, 'loss_to_layer': 0.0}], 2024: [], 2025: [{'event': 'Hurricane E', 'amount': 78000000, 'trended_amount': 89393616.0, 'loss_to_layer': 39393616.0}], 2026: [{'event': 'Windstorm F', 'amount': 5000000, 'trended_amount': 5406000.0, 'loss_to_layer': 0.0}]}, 8372093.02)</w:t>
      </w:r>
    </w:p>
    <w:p>
      <w:pPr>
        <w:spacing w:after="200"/>
      </w:pPr>
      <w:r>
        <w:rPr>
          <w:b/>
          <w:bCs/>
        </w:rPr>
        <w:t xml:space="preserve">Outputs: </w:t>
      </w:r>
      <w:r>
        <w:rPr>
          <w:rFonts w:ascii="Consolas" w:cs="Consolas" w:eastAsia="Consolas" w:hAnsi="Consolas"/>
          <w:sz w:val="18"/>
          <w:szCs w:val="18"/>
        </w:rPr>
        <w:t xml:space="preserve">{'n_claims_to_layer': 3, 'n_years': 10, 'frequency_lambda': 0.3, 'severity_lognormal_mu': 17.6456, 'severity_lognormal_sigma': 0.1312, 'expected_severity_to_layer': 46464538.67, 'modeled_expected_annual_loss_to_layer': 13939361.6, 'exposure_indication_loss_cost_ratio': 1.665}</w:t>
      </w:r>
    </w:p>
    <w:p>
      <w:pPr>
        <w:pStyle w:val="Heading3"/>
        <w:spacing w:after="100" w:before="200"/>
      </w:pPr>
      <w:r>
        <w:t xml:space="preserve">Step 42 — calculate_credibility_weight</w:t>
      </w:r>
    </w:p>
    <w:p>
      <w:pPr>
        <w:spacing w:after="60"/>
      </w:pPr>
      <w:r>
        <w:rPr>
          <w:b/>
          <w:bCs/>
        </w:rPr>
        <w:t xml:space="preserve">Inputs: </w:t>
      </w:r>
      <w:r>
        <w:rPr>
          <w:rFonts w:ascii="Consolas" w:cs="Consolas" w:eastAsia="Consolas" w:hAnsi="Consolas"/>
          <w:sz w:val="18"/>
          <w:szCs w:val="18"/>
        </w:rPr>
        <w:t xml:space="preserve">(3,)</w:t>
      </w:r>
    </w:p>
    <w:p>
      <w:pPr>
        <w:spacing w:after="200"/>
      </w:pPr>
      <w:r>
        <w:rPr>
          <w:b/>
          <w:bCs/>
        </w:rPr>
        <w:t xml:space="preserve">Outputs: </w:t>
      </w:r>
      <w:r>
        <w:rPr>
          <w:rFonts w:ascii="Consolas" w:cs="Consolas" w:eastAsia="Consolas" w:hAnsi="Consolas"/>
          <w:sz w:val="18"/>
          <w:szCs w:val="18"/>
        </w:rPr>
        <w:t xml:space="preserve">{'n_claims_to_layer': 3, 'full_credibility_standard': 15, 'Z': 0.4472, 'note': 'Standard partial credibility formula applied.'}</w:t>
      </w:r>
    </w:p>
    <w:p>
      <w:pPr>
        <w:pStyle w:val="Heading3"/>
        <w:spacing w:after="100" w:before="200"/>
      </w:pPr>
      <w:r>
        <w:t xml:space="preserve">Step 43 — calculate_technical_price</w:t>
      </w:r>
    </w:p>
    <w:p>
      <w:pPr>
        <w:spacing w:after="60"/>
      </w:pPr>
      <w:r>
        <w:rPr>
          <w:b/>
          <w:bCs/>
        </w:rPr>
        <w:t xml:space="preserve">Inputs: </w:t>
      </w:r>
      <w:r>
        <w:rPr>
          <w:rFonts w:ascii="Consolas" w:cs="Consolas" w:eastAsia="Consolas" w:hAnsi="Consolas"/>
          <w:sz w:val="18"/>
          <w:szCs w:val="18"/>
        </w:rPr>
        <w:t xml:space="preserve">{'experience_indication_loss_cost': 13366883.715731999, 'exposure_indication_loss_cost': 13939361.6, 'Z': 0.4472, 'onlevel_premium': 8372093.02}</w:t>
      </w:r>
    </w:p>
    <w:p>
      <w:pPr>
        <w:spacing w:after="200"/>
      </w:pPr>
      <w:r>
        <w:rPr>
          <w:b/>
          <w:bCs/>
        </w:rPr>
        <w:t xml:space="preserve">Outputs: </w:t>
      </w:r>
      <w:r>
        <w:rPr>
          <w:rFonts w:ascii="Consolas" w:cs="Consolas" w:eastAsia="Consolas" w:hAnsi="Consolas"/>
          <w:sz w:val="18"/>
          <w:szCs w:val="18"/>
        </w:rPr>
        <w:t xml:space="preserve">{'blended_expected_loss_cost': 13683349.49, 'expense_pct': 0.1, 'admin_pct': 0.015, 'capital_load_pct_of_loss_cost': 0.12, 'capital_load_amount': 1642001.94, 'target_margin_pct': 0.06, 'technical_premium': 18576183.55, 'technical_price_as_pct_of_onlevel_premium': 2.2188}</w:t>
      </w:r>
    </w:p>
    <w:p>
      <w:pPr>
        <w:pStyle w:val="Heading3"/>
        <w:spacing w:after="100" w:before="200"/>
      </w:pPr>
      <w:r>
        <w:t xml:space="preserve">Step 44 — trend_and_onlevel_claims</w:t>
      </w:r>
    </w:p>
    <w:p>
      <w:pPr>
        <w:spacing w:after="60"/>
      </w:pPr>
      <w:r>
        <w:rPr>
          <w:b/>
          <w:bCs/>
        </w:rPr>
        <w:t xml:space="preserve">Inputs: </w:t>
      </w:r>
      <w:r>
        <w:rPr>
          <w:rFonts w:ascii="Consolas" w:cs="Consolas" w:eastAsia="Consolas" w:hAnsi="Consolas"/>
          <w:sz w:val="18"/>
          <w:szCs w:val="18"/>
        </w:rPr>
        <w:t xml:space="preserve">{'losses_by_year': {2017: [{'event': 'Hurricane A', 'amount': 20000000}], 2018: [], 2019: [{'event': 'Windstorm B', 'amount': 65000000}], 2020: [], 2021: [{'event': 'Hurricane C', 'amount': 110000000}], 2022: [], 2023: [{'event': 'Windstorm D', 'amount': 15000000}], 2024: [], 2025: [{'event': 'Hurricane E', 'amount': 78000000}], 2026: [{'event': 'Windstorm F', 'amount': 5000000}]}, 'premium_by_year': {2017: 5400000, 2018: 5600000, 2019: 5900000, 2020: 6100000, 2021: 6400000, 2022: 6800000, 2023: 7100000, 2024: 7400000, 2025: 7700000, 2026: 8000000}, 'tiv_by_year': {2017: 8200000000, 2018: 8500000000, 2019: 8900000000, 2020: 9300000000, 2021: 9800000000, 2022: 10400000000, 2023: 11000000000, 2024: 11700000000, 2025: 12300000000, 2026: 12900000000, 2027: 13500000000}, 'current_year': 2027, 'peril': 'wind'}</w:t>
      </w:r>
    </w:p>
    <w:p>
      <w:pPr>
        <w:spacing w:after="200"/>
      </w:pPr>
      <w:r>
        <w:rPr>
          <w:b/>
          <w:bCs/>
        </w:rPr>
        <w:t xml:space="preserve">Outputs: </w:t>
      </w:r>
      <w:r>
        <w:rPr>
          <w:rFonts w:ascii="Consolas" w:cs="Consolas" w:eastAsia="Consolas" w:hAnsi="Consolas"/>
          <w:sz w:val="18"/>
          <w:szCs w:val="18"/>
        </w:rPr>
        <w:t xml:space="preserve">{'peril': 'wind', 'loss_trend_used': 0.06, 'tiv_trend_used': 0.04, 'trended_events_by_year': {2017: [{'event': 'Hurricane A', 'amount': 20000000, 'trended_amount': 35816953.93}], 2018: [], 2019: [{'event': 'Windstorm B', 'amount': 65000000, 'trended_amount': 103600124.84}], 2020: [], 2021: [{'event': 'Hurricane C', 'amount': 110000000, 'trended_amount': 156037102.35}], 2022: [], 2023: [{'event': 'Windstorm D', 'amount': 15000000, 'trended_amount': 18937154.4}], 2024: [], 2025: [{'event': 'Hurricane E', 'amount': 78000000, 'trended_amount': 87640800.0}], 2026: [{'event': 'Windstorm F', 'amount': 5000000, 'trended_amount': 5300000.0}]}, 'onlevel_premium_by_year': {2017: 8890243.9, 2018: 8894117.65, 2019: 8949438.2, 2020: 8854838.71, 2021: 8816326.53, 2022: 8826923.08, 2023: 8713636.36, 2024: 8538461.54, 2025: 8451219.51, 2026: 8372093.02}}</w:t>
      </w:r>
    </w:p>
    <w:p>
      <w:pPr>
        <w:pStyle w:val="Heading3"/>
        <w:spacing w:after="100" w:before="200"/>
      </w:pPr>
      <w:r>
        <w:t xml:space="preserve">Step 45 — apply_treaty_structure_to_losses</w:t>
      </w:r>
    </w:p>
    <w:p>
      <w:pPr>
        <w:spacing w:after="60"/>
      </w:pPr>
      <w:r>
        <w:rPr>
          <w:b/>
          <w:bCs/>
        </w:rPr>
        <w:t xml:space="preserve">Inputs: </w:t>
      </w:r>
      <w:r>
        <w:rPr>
          <w:rFonts w:ascii="Consolas" w:cs="Consolas" w:eastAsia="Consolas" w:hAnsi="Consolas"/>
          <w:sz w:val="18"/>
          <w:szCs w:val="18"/>
        </w:rPr>
        <w:t xml:space="preserve">({2017: [{'event': 'Hurricane A', 'amount': 20000000, 'trended_amount': 35816953.93}], 2018: [], 2019: [{'event': 'Windstorm B', 'amount': 65000000, 'trended_amount': 103600124.84}], 2020: [], 2021: [], 2022: [], 2023: [{'event': 'Windstorm D', 'amount': 15000000, 'trended_amount': 18937154.4}], 2024: [], 2025: [{'event': 'Hurricane E', 'amount': 78000000, 'trended_amount': 87640800.0}], 2026: [{'event': 'Windstorm F', 'amount': 5000000, 'trended_amount': 5300000.0}]}, {'attachment': 50000000, 'limit': 50000000, 'reinstatements': 1, 'reinstatement_cost_pct': 1.0})</w:t>
      </w:r>
    </w:p>
    <w:p>
      <w:pPr>
        <w:spacing w:after="200"/>
      </w:pPr>
      <w:r>
        <w:rPr>
          <w:b/>
          <w:bCs/>
        </w:rPr>
        <w:t xml:space="preserve">Outputs: </w:t>
      </w:r>
      <w:r>
        <w:rPr>
          <w:rFonts w:ascii="Consolas" w:cs="Consolas" w:eastAsia="Consolas" w:hAnsi="Consolas"/>
          <w:sz w:val="18"/>
          <w:szCs w:val="18"/>
        </w:rPr>
        <w:t xml:space="preserve">{'attachment': 50000000, 'limit': 50000000, 'reinstatements': 1, 'annual_aggregate_limit': 100000000, 'losses_to_layer_by_year': {2017: 0.0, 2018: 0.0, 2019: 50000000.0, 2020: 0.0, 2021: 0.0, 2022: 0.0, 2023: 0.0, 2024: 0.0, 2025: 37640800.0, 2026: 0.0}, 'event_detail_by_year': {2017: [{'event': 'Hurricane A', 'amount': 20000000, 'trended_amount': 35816953.93, 'loss_to_layer': 0.0}], 2018: [], 2019: [{'event': 'Windstorm B', 'amount': 65000000, 'trended_amount': 103600124.84, 'loss_to_layer': 50000000}], 2020: [], 2021: [], 2022: [], 2023: [{'event': 'Windstorm D', 'amount': 15000000, 'trended_amount': 18937154.4, 'loss_to_layer': 0.0}], 2024: [], 2025: [{'event': 'Hurricane E', 'amount': 78000000, 'trended_amount': 87640800.0, 'loss_to_layer': 37640800.0}], 2026: [{'event': 'Windstorm F', 'amount': 5000000, 'trended_amount': 5300000.0, 'loss_to_layer': 0.0}]}}</w:t>
      </w:r>
    </w:p>
    <w:p>
      <w:pPr>
        <w:pStyle w:val="Heading3"/>
        <w:spacing w:after="100" w:before="200"/>
      </w:pPr>
      <w:r>
        <w:t xml:space="preserve">Step 46 — calculate_burning_cost</w:t>
      </w:r>
    </w:p>
    <w:p>
      <w:pPr>
        <w:spacing w:after="60"/>
      </w:pPr>
      <w:r>
        <w:rPr>
          <w:b/>
          <w:bCs/>
        </w:rPr>
        <w:t xml:space="preserve">Inputs: </w:t>
      </w:r>
      <w:r>
        <w:rPr>
          <w:rFonts w:ascii="Consolas" w:cs="Consolas" w:eastAsia="Consolas" w:hAnsi="Consolas"/>
          <w:sz w:val="18"/>
          <w:szCs w:val="18"/>
        </w:rPr>
        <w:t xml:space="preserve">({2017: 0.0, 2018: 0.0, 2019: 50000000.0, 2020: 0.0, 2021: 0.0, 2022: 0.0, 2023: 0.0, 2024: 0.0, 2025: 37640800.0, 2026: 0.0}, {2017: 8890243.9, 2018: 8894117.65, 2019: 8949438.2, 2020: 8854838.71, 2021: 8816326.53, 2022: 8826923.08, 2023: 8713636.36, 2024: 8538461.54, 2025: 8451219.51, 2026: 8372093.02})</w:t>
      </w:r>
    </w:p>
    <w:p>
      <w:pPr>
        <w:spacing w:after="200"/>
      </w:pPr>
      <w:r>
        <w:rPr>
          <w:b/>
          <w:bCs/>
        </w:rPr>
        <w:t xml:space="preserve">Outputs: </w:t>
      </w:r>
      <w:r>
        <w:rPr>
          <w:rFonts w:ascii="Consolas" w:cs="Consolas" w:eastAsia="Consolas" w:hAnsi="Consolas"/>
          <w:sz w:val="18"/>
          <w:szCs w:val="18"/>
        </w:rPr>
        <w:t xml:space="preserve">{'years_used': [2017, 2018, 2019, 2020, 2021, 2022, 2023, 2024, 2025, 2026], 'annual_burning_cost_ratio': {2017: 0.0, 2018: 0.0, 2019: 5.5869, 2020: 0.0, 2021: 0.0, 2022: 0.0, 2023: 0.0, 2024: 0.0, 2025: 4.4539, 2026: 0.0}, 'simple_average_burning_cost': 1.0041, 'premium_weighted_average_burning_cost': 1.0038, 'burning_cost_std_dev': 2.0241, 'experience_indication_premium_basis': 8403906.97}</w:t>
      </w:r>
    </w:p>
    <w:p>
      <w:pPr>
        <w:pStyle w:val="Heading3"/>
        <w:spacing w:after="100" w:before="200"/>
      </w:pPr>
      <w:r>
        <w:t xml:space="preserve">Step 47 — fit_frequency_severity_models</w:t>
      </w:r>
    </w:p>
    <w:p>
      <w:pPr>
        <w:spacing w:after="60"/>
      </w:pPr>
      <w:r>
        <w:rPr>
          <w:b/>
          <w:bCs/>
        </w:rPr>
        <w:t xml:space="preserve">Inputs: </w:t>
      </w:r>
      <w:r>
        <w:rPr>
          <w:rFonts w:ascii="Consolas" w:cs="Consolas" w:eastAsia="Consolas" w:hAnsi="Consolas"/>
          <w:sz w:val="18"/>
          <w:szCs w:val="18"/>
        </w:rPr>
        <w:t xml:space="preserve">({2017: [{'event': 'Hurricane A', 'amount': 20000000, 'trended_amount': 35816953.93, 'loss_to_layer': 0.0}], 2018: [], 2019: [{'event': 'Windstorm B', 'amount': 65000000, 'trended_amount': 103600124.84, 'loss_to_layer': 50000000}], 2020: [], 2021: [], 2022: [], 2023: [{'event': 'Windstorm D', 'amount': 15000000, 'trended_amount': 18937154.4, 'loss_to_layer': 0.0}], 2024: [], 2025: [{'event': 'Hurricane E', 'amount': 78000000, 'trended_amount': 87640800.0, 'loss_to_layer': 37640800.0}], 2026: [{'event': 'Windstorm F', 'amount': 5000000, 'trended_amount': 5300000.0, 'loss_to_layer': 0.0}]}, 8372093.02)</w:t>
      </w:r>
    </w:p>
    <w:p>
      <w:pPr>
        <w:spacing w:after="200"/>
      </w:pPr>
      <w:r>
        <w:rPr>
          <w:b/>
          <w:bCs/>
        </w:rPr>
        <w:t xml:space="preserve">Outputs: </w:t>
      </w:r>
      <w:r>
        <w:rPr>
          <w:rFonts w:ascii="Consolas" w:cs="Consolas" w:eastAsia="Consolas" w:hAnsi="Consolas"/>
          <w:sz w:val="18"/>
          <w:szCs w:val="18"/>
        </w:rPr>
        <w:t xml:space="preserve">{'n_claims_to_layer': 2, 'n_years': 10, 'frequency_lambda': 0.2, 'severity_lognormal_mu': 17.5761, 'severity_lognormal_sigma': 0.1975, 'expected_severity_to_layer': 43820400.0, 'modeled_expected_annual_loss_to_layer': 8764080.0, 'exposure_indication_loss_cost_ratio': 1.0468}</w:t>
      </w:r>
    </w:p>
    <w:p>
      <w:pPr>
        <w:pStyle w:val="Heading3"/>
        <w:spacing w:after="100" w:before="200"/>
      </w:pPr>
      <w:r>
        <w:t xml:space="preserve">Step 48 — calculate_credibility_weight</w:t>
      </w:r>
    </w:p>
    <w:p>
      <w:pPr>
        <w:spacing w:after="60"/>
      </w:pPr>
      <w:r>
        <w:rPr>
          <w:b/>
          <w:bCs/>
        </w:rPr>
        <w:t xml:space="preserve">Inputs: </w:t>
      </w:r>
      <w:r>
        <w:rPr>
          <w:rFonts w:ascii="Consolas" w:cs="Consolas" w:eastAsia="Consolas" w:hAnsi="Consolas"/>
          <w:sz w:val="18"/>
          <w:szCs w:val="18"/>
        </w:rPr>
        <w:t xml:space="preserve">(2,)</w:t>
      </w:r>
    </w:p>
    <w:p>
      <w:pPr>
        <w:spacing w:after="200"/>
      </w:pPr>
      <w:r>
        <w:rPr>
          <w:b/>
          <w:bCs/>
        </w:rPr>
        <w:t xml:space="preserve">Outputs: </w:t>
      </w:r>
      <w:r>
        <w:rPr>
          <w:rFonts w:ascii="Consolas" w:cs="Consolas" w:eastAsia="Consolas" w:hAnsi="Consolas"/>
          <w:sz w:val="18"/>
          <w:szCs w:val="18"/>
        </w:rPr>
        <w:t xml:space="preserve">{'n_claims_to_layer': 2, 'full_credibility_standard': 15, 'Z': 0.25, 'note': 'Below minimum claim floor (3); Z capped at 0.25.'}</w:t>
      </w:r>
    </w:p>
    <w:p>
      <w:pPr>
        <w:pStyle w:val="Heading3"/>
        <w:spacing w:after="100" w:before="200"/>
      </w:pPr>
      <w:r>
        <w:t xml:space="preserve">Step 49 — calculate_technical_price</w:t>
      </w:r>
    </w:p>
    <w:p>
      <w:pPr>
        <w:spacing w:after="60"/>
      </w:pPr>
      <w:r>
        <w:rPr>
          <w:b/>
          <w:bCs/>
        </w:rPr>
        <w:t xml:space="preserve">Inputs: </w:t>
      </w:r>
      <w:r>
        <w:rPr>
          <w:rFonts w:ascii="Consolas" w:cs="Consolas" w:eastAsia="Consolas" w:hAnsi="Consolas"/>
          <w:sz w:val="18"/>
          <w:szCs w:val="18"/>
        </w:rPr>
        <w:t xml:space="preserve">{'experience_indication_loss_cost': 8403906.973476, 'exposure_indication_loss_cost': 8764080.0, 'Z': 0.25, 'onlevel_premium': 8372093.02}</w:t>
      </w:r>
    </w:p>
    <w:p>
      <w:pPr>
        <w:spacing w:after="200"/>
      </w:pPr>
      <w:r>
        <w:rPr>
          <w:b/>
          <w:bCs/>
        </w:rPr>
        <w:t xml:space="preserve">Outputs: </w:t>
      </w:r>
      <w:r>
        <w:rPr>
          <w:rFonts w:ascii="Consolas" w:cs="Consolas" w:eastAsia="Consolas" w:hAnsi="Consolas"/>
          <w:sz w:val="18"/>
          <w:szCs w:val="18"/>
        </w:rPr>
        <w:t xml:space="preserve">{'blended_expected_loss_cost': 8674036.74, 'expense_pct': 0.1, 'admin_pct': 0.015, 'capital_load_pct_of_loss_cost': 0.12, 'capital_load_amount': 1040884.41, 'target_margin_pct': 0.06, 'technical_premium': 11775662.0, 'technical_price_as_pct_of_onlevel_premium': 1.4065}</w:t>
      </w:r>
    </w:p>
    <w:p>
      <w:pPr>
        <w:pStyle w:val="Heading3"/>
        <w:spacing w:after="100" w:before="200"/>
      </w:pPr>
      <w:r>
        <w:t xml:space="preserve">Step 50 — run_pricing_sensitivities</w:t>
      </w:r>
    </w:p>
    <w:p>
      <w:pPr>
        <w:spacing w:after="60"/>
      </w:pPr>
      <w:r>
        <w:rPr>
          <w:b/>
          <w:bCs/>
        </w:rPr>
        <w:t xml:space="preserve">Inputs: </w:t>
      </w:r>
      <w:r>
        <w:rPr>
          <w:rFonts w:ascii="Consolas" w:cs="Consolas" w:eastAsia="Consolas" w:hAnsi="Consolas"/>
          <w:sz w:val="18"/>
          <w:szCs w:val="18"/>
        </w:rPr>
        <w:t xml:space="preserve">{'base_case': {'blended_expected_loss_cost': 13511199.42, 'expense_pct': 0.1, 'admin_pct': 0.015, 'capital_load_pct_of_loss_cost': 0.12, 'capital_load_amount': 1621343.93, 'target_margin_pct': 0.06, 'technical_premium': 18342476.79, 'technical_price_as_pct_of_onlevel_premium': 2.1909}, 'submission': {'cedant_name': 'Example Mutual Insurance Co.', 'peril': 'wind', 'current_year': 2027, 'treaty_terms': {'attachment': 50000000, 'limit': 50000000, 'reinstatements': 1, 'reinstatement_cost_pct': 1.0}, 'expiring_technical_premium': 7800000, 'tiv_by_year': {2017: 8200000000, 2018: 8500000000, 2019: 8900000000, 2020: 9300000000, 2021: 9800000000, 2022: 10400000000, 2023: 11000000000, 2024: 11700000000, 2025: 12300000000, 2026: 12900000000, 2027: 13500000000}, 'premium_by_year': {2017: 5400000, 2018: 5600000, 2019: 5900000, 2020: 6100000, 2021: 6400000, 2022: 6800000, 2023: 7100000, 2024: 7400000, 2025: 7700000, 2026: 8000000}, 'losses_by_year': {2017: [{'event': 'Hurricane A', 'amount': 20000000}], 2018: [], 2019: [{'event': 'Windstorm B', 'amount': 65000000}], 2020: [], 2021: [{'event': 'Hurricane C', 'amount': 110000000}], 2022: [], 2023: [{'event': 'Windstorm D', 'amount': 15000000}], 2024: [], 2025: [{'event': 'Hurricane E', 'amount': 78000000}], 2026: [{'event': 'Windstorm F', 'amount': 5000000}]}}, 'pipeline_fn': &lt;bound method TreatyPricingAgent.run_pipeline of &lt;agent.TreatyPricingAgent object at 0x7f17138c39b0&gt;&gt;}</w:t>
      </w:r>
    </w:p>
    <w:p>
      <w:pPr>
        <w:spacing w:after="200"/>
      </w:pPr>
      <w:r>
        <w:rPr>
          <w:b/>
          <w:bCs/>
        </w:rPr>
        <w:t xml:space="preserve">Outputs: </w:t>
      </w:r>
      <w:r>
        <w:rPr>
          <w:rFonts w:ascii="Consolas" w:cs="Consolas" w:eastAsia="Consolas" w:hAnsi="Consolas"/>
          <w:sz w:val="18"/>
          <w:szCs w:val="18"/>
        </w:rPr>
        <w:t xml:space="preserve">{'scenario_technical_premiums': {'base_case': 18342476.79, 'attachment_minus_25pct': 19989714.39, 'attachment_plus_25pct': 15490699.53, 'limit_minus_25pct': 14992412.86, 'limit_plus_25pct': 20488001.05, 'trend_minus_200bps': 18108770.02, 'trend_plus_200bps': 18576183.55, 'largest_loss_removed': 11775662.0}, 'pct_change_vs_base': {'attachment_minus_25pct': 0.0898, 'attachment_plus_25pct': -0.1555, 'limit_minus_25pct': -0.1826, 'limit_plus_25pct': 0.117, 'trend_minus_200bps': -0.0127, 'trend_plus_200bps': 0.0127, 'largest_loss_removed': -0.358}}</w:t>
      </w:r>
    </w:p>
    <w:p>
      <w:pPr>
        <w:pStyle w:val="Heading3"/>
        <w:spacing w:after="100" w:before="200"/>
      </w:pPr>
      <w:r>
        <w:t xml:space="preserve">Step 51 — compare_to_expiring (internal, non-governed calculation)</w:t>
      </w:r>
    </w:p>
    <w:p>
      <w:pPr>
        <w:spacing w:after="60"/>
      </w:pPr>
      <w:r>
        <w:rPr>
          <w:b/>
          <w:bCs/>
        </w:rPr>
        <w:t xml:space="preserve">Inputs: </w:t>
      </w:r>
      <w:r>
        <w:rPr>
          <w:rFonts w:ascii="Consolas" w:cs="Consolas" w:eastAsia="Consolas" w:hAnsi="Consolas"/>
          <w:sz w:val="18"/>
          <w:szCs w:val="18"/>
        </w:rPr>
        <w:t xml:space="preserve">{'technical_premium': 18342476.79, 'expiring_technical_premium': 7800000}</w:t>
      </w:r>
    </w:p>
    <w:p>
      <w:pPr>
        <w:spacing w:after="200"/>
      </w:pPr>
      <w:r>
        <w:rPr>
          <w:b/>
          <w:bCs/>
        </w:rPr>
        <w:t xml:space="preserve">Outputs: </w:t>
      </w:r>
      <w:r>
        <w:rPr>
          <w:rFonts w:ascii="Consolas" w:cs="Consolas" w:eastAsia="Consolas" w:hAnsi="Consolas"/>
          <w:sz w:val="18"/>
          <w:szCs w:val="18"/>
        </w:rPr>
        <w:t xml:space="preserve">{'indicated_rate_change_vs_expiring': 1.3516}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Treaty Pricing Audit Trail — Example Mutual Insurance Co.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60"/>
    </w:pPr>
    <w:rPr>
      <w:rFonts w:ascii="Calibri" w:cs="Calibri" w:eastAsia="Calibri" w:hAnsi="Calibri"/>
      <w:b/>
      <w:bCs/>
      <w:color w:val="0E7C7B"/>
      <w:sz w:val="26"/>
      <w:szCs w:val="26"/>
    </w:rPr>
  </w:style>
  <w:style w:type="paragraph" w:styleId="Heading3">
    <w:name w:val="Heading 3"/>
    <w:basedOn w:val="Normal"/>
    <w:next w:val="Normal"/>
    <w:qFormat/>
    <w:pPr>
      <w:spacing w:after="80" w:before="18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2026-07-28T13:37:42.674Z</dcterms:created>
  <dcterms:modified xsi:type="dcterms:W3CDTF">2026-07-28T13:37:42.687Z</dcterms:modified>
</cp:coreProperties>
</file>

<file path=docProps/custom.xml><?xml version="1.0" encoding="utf-8"?>
<Properties xmlns="http://schemas.openxmlformats.org/officeDocument/2006/custom-properties" xmlns:vt="http://schemas.openxmlformats.org/officeDocument/2006/docPropsVTypes"/>
</file>