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r21: corrected the stale container-stack facts in §"Project conventions" — host ports are the</w:t>
            </w:r>
            <w:r>
              <w:rPr>
                <w:b/>
                <w:bCs/>
              </w:rPr>
              <w:t xml:space="preserve"> </w:t>
            </w:r>
            <w:r>
              <w:rPr>
                <w:b/>
                <w:b/>
                <w:bCs/>
                <w:bCs/>
              </w:rPr>
              <w:t xml:space="preserve">24XXX</w:t>
            </w:r>
            <w:r>
              <w:rPr>
                <w:b/>
                <w:bCs/>
              </w:rPr>
              <w:t xml:space="preserve"> </w:t>
            </w:r>
            <w:r>
              <w:rPr>
                <w:b/>
                <w:bCs/>
              </w:rPr>
              <w:t xml:space="preserve">reserved range (Postgres 24100 / Redis 24200 / OTel 24417-24418 / flavor serve ports 24791/24793 per</w:t>
            </w:r>
            <w:r>
              <w:rPr>
                <w:b/>
                <w:bCs/>
              </w:rPr>
              <w:t xml:space="preserve"> </w:t>
            </w:r>
            <w:r>
              <w:rPr>
                <w:rStyle w:val="VerbatimChar"/>
                <w:b/>
                <w:bCs/>
              </w:rPr>
              <w:t xml:space="preserve">commons/branding.go</w:t>
            </w:r>
            <w:r>
              <w:rPr>
                <w:b/>
                <w:bCs/>
              </w:rPr>
              <w:t xml:space="preserve">), NOT "70XXX"; container names are</w:t>
            </w:r>
            <w:r>
              <w:rPr>
                <w:b/>
                <w:bCs/>
              </w:rPr>
              <w:t xml:space="preserve"> </w:t>
            </w:r>
            <w:r>
              <w:rPr>
                <w:rStyle w:val="VerbatimChar"/>
                <w:b/>
                <w:bCs/>
              </w:rPr>
              <w:t xml:space="preserve">herald-</w:t>
            </w:r>
            <w:r>
              <w:rPr>
                <w:b/>
                <w:bCs/>
              </w:rPr>
              <w:t xml:space="preserve">-prefixed (</w:t>
            </w:r>
            <w:r>
              <w:rPr>
                <w:rStyle w:val="VerbatimChar"/>
                <w:b/>
                <w:bCs/>
              </w:rPr>
              <w:t xml:space="preserve">herald-postgres</w:t>
            </w:r>
            <w:r>
              <w:rPr>
                <w:b/>
                <w:bCs/>
              </w:rPr>
              <w:t xml:space="preserve"> </w:t>
            </w:r>
            <w:r>
              <w:rPr>
                <w:b/>
                <w:bCs/>
              </w:rPr>
              <w:t xml:space="preserve">etc.), not bare</w:t>
            </w:r>
            <w:r>
              <w:rPr>
                <w:b/>
                <w:bCs/>
              </w:rPr>
              <w:t xml:space="preserve"> </w:t>
            </w:r>
            <w:r>
              <w:rPr>
                <w:rStyle w:val="VerbatimChar"/>
                <w:b/>
                <w:bCs/>
              </w:rPr>
              <w:t xml:space="preserve">herald</w:t>
            </w:r>
            <w:r>
              <w:rPr>
                <w:b/>
                <w:bCs/>
              </w:rPr>
              <w:t xml:space="preserve"> </w:t>
            </w:r>
            <w:r>
              <w:rPr>
                <w:b/>
                <w:bCs/>
              </w:rPr>
              <w:t xml:space="preserve">— verified against the committed</w:t>
            </w:r>
            <w:r>
              <w:rPr>
                <w:b/>
                <w:bCs/>
              </w:rPr>
              <w:t xml:space="preserve"> </w:t>
            </w:r>
            <w:r>
              <w:rPr>
                <w:rStyle w:val="VerbatimChar"/>
                <w:b/>
                <w:bCs/>
              </w:rPr>
              <w:t xml:space="preserve">quickstart/docker-compose.quickstart.yml</w:t>
            </w:r>
            <w:r>
              <w:rPr>
                <w:b/>
                <w:bCs/>
              </w:rPr>
              <w:t xml:space="preserve"> </w:t>
            </w:r>
            <w:r>
              <w:rPr>
                <w:b/>
                <w:bCs/>
              </w:rPr>
              <w:t xml:space="preserve">+ the e2e :24100 PG reference (surfaced by the COMMONS_INFRA nano-detail guide subagent). Prior r20: refreshed the stale "first-implementation cycle r1 (2026-05-20) / Go-scaffold landed" project-status prose to current reality —</w:t>
            </w:r>
            <w:r>
              <w:rPr>
                <w:b/>
                <w:bCs/>
              </w:rPr>
              <w:t xml:space="preserve"> </w:t>
            </w:r>
            <w:r>
              <w:rPr>
                <w:b/>
                <w:b/>
                <w:bCs/>
                <w:bCs/>
              </w:rPr>
              <w:t xml:space="preserve">18</w:t>
            </w:r>
            <w:r>
              <w:rPr>
                <w:b/>
                <w:bCs/>
              </w:rPr>
              <w:t xml:space="preserve"> </w:t>
            </w:r>
            <w:r>
              <w:rPr>
                <w:b/>
                <w:bCs/>
              </w:rPr>
              <w:t xml:space="preserve">workspace modules, waves 2–7 shipped, tag</w:t>
            </w:r>
            <w:r>
              <w:rPr>
                <w:b/>
                <w:bCs/>
              </w:rPr>
              <w:t xml:space="preserve"> </w:t>
            </w:r>
            <w:r>
              <w:rPr>
                <w:b/>
                <w:b/>
                <w:bCs/>
                <w:bCs/>
              </w:rPr>
              <w:t xml:space="preserve">v0.6.0</w:t>
            </w:r>
            <w:r>
              <w:rPr>
                <w:b/>
                <w:bCs/>
              </w:rPr>
              <w:t xml:space="preserve"> </w:t>
            </w:r>
            <w:r>
              <w:rPr>
                <w:b/>
                <w:bCs/>
              </w:rPr>
              <w:t xml:space="preserve">(2026-05-28), live</w:t>
            </w:r>
            <w:r>
              <w:rPr>
                <w:b/>
                <w:bCs/>
              </w:rPr>
              <w:t xml:space="preserve"> </w:t>
            </w:r>
            <w:r>
              <w:rPr>
                <w:rStyle w:val="VerbatimChar"/>
                <w:b/>
                <w:bCs/>
              </w:rPr>
              <w:t xml:space="preserve">pherald listen</w:t>
            </w:r>
            <w:r>
              <w:rPr>
                <w:b/>
                <w:bCs/>
              </w:rPr>
              <w:t xml:space="preserve"> </w:t>
            </w:r>
            <w:r>
              <w:rPr>
                <w:b/>
                <w:bCs/>
              </w:rPr>
              <w:t xml:space="preserve">+ Claude Code dispatch + Telegram &amp; Slack adapters + REST API + participant-attribution (§11.4.104) + intent-recognition (§11.4.105) + Docs Chain (§11.4.106); HRD-010/011/012/016 now LIVE; ~a-dozen open HRDs remain. Status prose ONLY — covenant/build/anti-bluff/inheritance content unchanged (merged a parallel stream's project-status prose onto main's r19 §11.4.106 header). Prior 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active multi-wave implementation</w:t>
      </w:r>
      <w:r>
        <w:t xml:space="preserve"> </w:t>
      </w:r>
      <w:r>
        <w:t xml:space="preserve">as of 2026-05-31 — well past the original first-implementation scaffold (r1, 2026-05-20). Waves 2 through 7 have shipped; the latest tag is</w:t>
      </w:r>
      <w:r>
        <w:t xml:space="preserve"> </w:t>
      </w:r>
      <w:r>
        <w:rPr>
          <w:b/>
          <w:bCs/>
        </w:rPr>
        <w:t xml:space="preserve">v0.6.0</w:t>
      </w:r>
      <w:r>
        <w:t xml:space="preserve"> </w:t>
      </w:r>
      <w:r>
        <w:t xml:space="preserve">(2026-05-28); the live</w:t>
      </w:r>
      <w:r>
        <w:t xml:space="preserve"> </w:t>
      </w:r>
      <w:r>
        <w:rPr>
          <w:rStyle w:val="VerbatimChar"/>
        </w:rPr>
        <w:t xml:space="preserve">pherald listen</w:t>
      </w:r>
      <w:r>
        <w:t xml:space="preserve"> </w:t>
      </w:r>
      <w:r>
        <w:t xml:space="preserve">inbound runtime, Claude Code dispatch, Telegram + Slack channel adapters, participant-attribution (§11.4.104), natural-language intent-recognition (§11.4.105), and the Docs Chain documentation-sync mandate (§11.4.106) are all landed. Roughly a dozen HRDs remain open in</w:t>
      </w:r>
      <w:r>
        <w:t xml:space="preserve"> </w:t>
      </w:r>
      <w:r>
        <w:rPr>
          <w:rStyle w:val="VerbatimChar"/>
        </w:rPr>
        <w:t xml:space="preserve">docs/Issues.md</w:t>
      </w:r>
      <w:r>
        <w:t xml:space="preserve"> </w:t>
      </w:r>
      <w:r>
        <w:t xml:space="preserve">(evidence-gated live-integration + later-iteration channels); the bulk of the catalogue migrated to</w:t>
      </w:r>
      <w:r>
        <w:t xml:space="preserve"> </w:t>
      </w:r>
      <w:r>
        <w:rPr>
          <w:rStyle w:val="VerbatimChar"/>
        </w:rPr>
        <w:t xml:space="preserve">Fixed.md</w:t>
      </w:r>
      <w:r>
        <w:t xml:space="preserve"> </w:t>
      </w:r>
      <w:r>
        <w:t xml:space="preserve">in the v1.0.0 closure sweep.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(participant-attribution §11.4.104 + intent-recognition §11.4.105 incorporated; the prior V-series archived under</w:t>
      </w:r>
      <w:r>
        <w:t xml:space="preserve"> </w:t>
      </w:r>
      <w:r>
        <w:rPr>
          <w:rStyle w:val="VerbatimChar"/>
        </w:rPr>
        <w:t xml:space="preserve">docs/specs/mvp/archive/</w:t>
      </w:r>
      <w:r>
        <w:t xml:space="preserve">).</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+ 8 flavor binaries) with the inbound runtime, channel adapters, and storage all live. Representative components: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(live</w:t>
      </w:r>
      <w:r>
        <w:t xml:space="preserve">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drives</w:t>
      </w:r>
      <w:r>
        <w:t xml:space="preserve"> </w:t>
      </w:r>
      <w:r>
        <w:rPr>
          <w:rStyle w:val="VerbatimChar"/>
        </w:rPr>
        <w:t xml:space="preserve">pherald listen</w:t>
      </w:r>
      <w:r>
        <w:t xml:space="preserve">).</w:t>
      </w:r>
    </w:p>
    <w:p>
      <w:pPr>
        <w:pStyle w:val="Compact"/>
        <w:numPr>
          <w:ilvl w:val="0"/>
          <w:numId w:val="1004"/>
        </w:numPr>
      </w:pPr>
      <w:r>
        <w:rPr>
          <w:rStyle w:val="VerbatimChar"/>
        </w:rPr>
        <w:t xml:space="preserve">commons_messaging/channels/slack/</w:t>
      </w:r>
      <w:r>
        <w:t xml:space="preserve"> </w:t>
      </w:r>
      <w:r>
        <w:t xml:space="preserve">— Slack adapter (Wave 7 multi-channel generalization).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w:t>
      </w:r>
      <w:r>
        <w:t xml:space="preserve"> </w:t>
      </w:r>
      <w:r>
        <w:t xml:space="preserve">invocation wired with Opus pinned and per-message timeout bound (HRD-146).</w:t>
      </w:r>
    </w:p>
    <w:p>
      <w:pPr>
        <w:pStyle w:val="Compact"/>
        <w:numPr>
          <w:ilvl w:val="0"/>
          <w:numId w:val="1004"/>
        </w:numPr>
      </w:pPr>
      <w:r>
        <w:rPr>
          <w:rStyle w:val="VerbatimChar"/>
        </w:rPr>
        <w:t xml:space="preserve">commons_storage/</w:t>
      </w:r>
      <w:r>
        <w:t xml:space="preserve"> </w:t>
      </w:r>
      <w:r>
        <w:t xml:space="preserve">— SQL migrations embedded via</w:t>
      </w:r>
      <w:r>
        <w:t xml:space="preserve"> </w:t>
      </w:r>
      <w:r>
        <w:rPr>
          <w:rStyle w:val="VerbatimChar"/>
        </w:rPr>
        <w:t xml:space="preserve">//go:embed</w:t>
      </w:r>
      <w:r>
        <w:t xml:space="preserve">; pgx + River + Redis wiring live.</w:t>
      </w:r>
    </w:p>
    <w:p>
      <w:pPr>
        <w:pStyle w:val="Compact"/>
        <w:numPr>
          <w:ilvl w:val="0"/>
          <w:numId w:val="1004"/>
        </w:numPr>
      </w:pPr>
      <w:r>
        <w:rPr>
          <w:rStyle w:val="VerbatimChar"/>
        </w:rPr>
        <w:t xml:space="preserve">commons_workable/</w:t>
      </w:r>
      <w:r>
        <w:t xml:space="preserve"> </w:t>
      </w:r>
      <w:r>
        <w:t xml:space="preserve">+</w:t>
      </w:r>
      <w:r>
        <w:t xml:space="preserve"> </w:t>
      </w:r>
      <w:r>
        <w:rPr>
          <w:rStyle w:val="VerbatimChar"/>
        </w:rPr>
        <w:t xml:space="preserve">commons_watch/</w:t>
      </w:r>
      <w:r>
        <w:t xml:space="preserve"> </w:t>
      </w:r>
      <w:r>
        <w:t xml:space="preserve">— workable-items SQLite SSoT store + per-property change-feed + fsnotify/WAL-poll watcher (the ATMOSphere integration substrate).</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w:t>
      </w:r>
      <w:r>
        <w:t xml:space="preserve"> </w:t>
      </w:r>
      <w:r>
        <w:rPr>
          <w:rStyle w:val="VerbatimChar"/>
        </w:rPr>
        <w:t xml:space="preserve">pherald listen</w:t>
      </w:r>
      <w:r>
        <w:t xml:space="preserve"> </w:t>
      </w:r>
      <w:r>
        <w:t xml:space="preserve">(inbound runtime),</w:t>
      </w:r>
      <w:r>
        <w:t xml:space="preserve"> </w:t>
      </w:r>
      <w:r>
        <w:rPr>
          <w:rStyle w:val="VerbatimChar"/>
        </w:rPr>
        <w:t xml:space="preserve">pherald watch</w:t>
      </w:r>
      <w:r>
        <w:t xml:space="preserve"> </w:t>
      </w:r>
      <w:r>
        <w:t xml:space="preserve">(workable-items daemon), and the §43 command catalogue all wired end-to-end.</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are</w:t>
      </w:r>
      <w:r>
        <w:t xml:space="preserve"> </w:t>
      </w:r>
      <w:r>
        <w:rPr>
          <w:rStyle w:val="VerbatimChar"/>
        </w:rPr>
        <w:t xml:space="preserve">herald-</w:t>
      </w:r>
      <w:r>
        <w:t xml:space="preserve">-prefixed (</w:t>
      </w:r>
      <w:r>
        <w:rPr>
          <w:rStyle w:val="VerbatimChar"/>
        </w:rPr>
        <w:t xml:space="preserve">herald-postgres</w:t>
      </w:r>
      <w:r>
        <w:t xml:space="preserve">,</w:t>
      </w:r>
      <w:r>
        <w:t xml:space="preserve"> </w:t>
      </w:r>
      <w:r>
        <w:rPr>
          <w:rStyle w:val="VerbatimChar"/>
        </w:rPr>
        <w:t xml:space="preserve">herald-redis</w:t>
      </w:r>
      <w:r>
        <w:t xml:space="preserve">,</w:t>
      </w:r>
      <w:r>
        <w:t xml:space="preserve"> </w:t>
      </w:r>
      <w:r>
        <w:rPr>
          <w:rStyle w:val="VerbatimChar"/>
        </w:rPr>
        <w:t xml:space="preserve">herald-otel</w:t>
      </w:r>
      <w:r>
        <w:t xml:space="preserve">,</w:t>
      </w:r>
      <w:r>
        <w:t xml:space="preserve"> </w:t>
      </w:r>
      <w:r>
        <w:rPr>
          <w:rStyle w:val="VerbatimChar"/>
        </w:rPr>
        <w:t xml:space="preserve">herald-pherald</w:t>
      </w:r>
      <w:r>
        <w:t xml:space="preserve">); all host ports are in the</w:t>
      </w:r>
      <w:r>
        <w:t xml:space="preserve"> </w:t>
      </w:r>
      <w:r>
        <w:rPr>
          <w:rStyle w:val="VerbatimChar"/>
          <w:b/>
          <w:bCs/>
        </w:rPr>
        <w:t xml:space="preserve">24XXX</w:t>
      </w:r>
      <w:r>
        <w:t xml:space="preserve"> </w:t>
      </w:r>
      <w:r>
        <w:t xml:space="preserve">reserved range — Postgres</w:t>
      </w:r>
      <w:r>
        <w:t xml:space="preserve"> </w:t>
      </w:r>
      <w:r>
        <w:rPr>
          <w:rStyle w:val="VerbatimChar"/>
        </w:rPr>
        <w:t xml:space="preserve">24100</w:t>
      </w:r>
      <w:r>
        <w:t xml:space="preserve">, Redis</w:t>
      </w:r>
      <w:r>
        <w:t xml:space="preserve"> </w:t>
      </w:r>
      <w:r>
        <w:rPr>
          <w:rStyle w:val="VerbatimChar"/>
        </w:rPr>
        <w:t xml:space="preserve">24200</w:t>
      </w:r>
      <w:r>
        <w:t xml:space="preserve">, OTel</w:t>
      </w:r>
      <w:r>
        <w:t xml:space="preserve"> </w:t>
      </w:r>
      <w:r>
        <w:rPr>
          <w:rStyle w:val="VerbatimChar"/>
        </w:rPr>
        <w:t xml:space="preserve">24417</w:t>
      </w:r>
      <w:r>
        <w:t xml:space="preserve">/</w:t>
      </w:r>
      <w:r>
        <w:rPr>
          <w:rStyle w:val="VerbatimChar"/>
        </w:rPr>
        <w:t xml:space="preserve">24418</w:t>
      </w:r>
      <w:r>
        <w:t xml:space="preserve">, and the per-flavor serve ports from</w:t>
      </w:r>
      <w:r>
        <w:t xml:space="preserve"> </w:t>
      </w:r>
      <w:r>
        <w:rPr>
          <w:rStyle w:val="VerbatimChar"/>
        </w:rPr>
        <w:t xml:space="preserve">commons/branding.go</w:t>
      </w:r>
      <w:r>
        <w:t xml:space="preserve"> </w:t>
      </w:r>
      <w:r>
        <w:t xml:space="preserve">(</w:t>
      </w:r>
      <w:r>
        <w:rPr>
          <w:rStyle w:val="VerbatimChar"/>
        </w:rPr>
        <w:t xml:space="preserve">pherald</w:t>
      </w:r>
      <w:r>
        <w:t xml:space="preserve"> </w:t>
      </w:r>
      <w:r>
        <w:t xml:space="preserve">24791,</w:t>
      </w:r>
      <w:r>
        <w:t xml:space="preserve"> </w:t>
      </w:r>
      <w:r>
        <w:rPr>
          <w:rStyle w:val="VerbatimChar"/>
        </w:rPr>
        <w:t xml:space="preserve">sherald</w:t>
      </w:r>
      <w:r>
        <w:t xml:space="preserve"> </w:t>
      </w:r>
      <w:r>
        <w:t xml:space="preserve">24793, …) — to avoid collisions. (An earlier "70XXX" framing is stale; the committed</w:t>
      </w:r>
      <w:r>
        <w:t xml:space="preserve"> </w:t>
      </w:r>
      <w:r>
        <w:rPr>
          <w:rStyle w:val="VerbatimChar"/>
        </w:rPr>
        <w:t xml:space="preserve">quickstart/docker-compose.quickstart.yml</w:t>
      </w:r>
      <w:r>
        <w:t xml:space="preserve"> </w:t>
      </w:r>
      <w:r>
        <w:t xml:space="preserve">+</w:t>
      </w:r>
      <w:r>
        <w:t xml:space="preserve"> </w:t>
      </w:r>
      <w:r>
        <w:rPr>
          <w:rStyle w:val="VerbatimChar"/>
        </w:rPr>
        <w:t xml:space="preserve">commons/branding.go</w:t>
      </w:r>
      <w:r>
        <w:t xml:space="preserve"> </w:t>
      </w:r>
      <w:r>
        <w:t xml:space="preserve">use 24XXX.)</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6"/>
    <w:bookmarkStart w:id="47"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