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7"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r13: extended §108 with §108.p restating inherited HelixConstitution §11.4.106 (Docs Chain documentation-sync mandate, 2026-05-29) at Herald project-constitution level per §1.1 multi-file propagation discipline; inherited per §11.4.35, restated + cited, not redefined; literal anchor</w:t>
            </w:r>
            <w:r>
              <w:t xml:space="preserve"> </w:t>
            </w:r>
            <w:r>
              <w:rPr>
                <w:rStyle w:val="VerbatimChar"/>
              </w:rPr>
              <w:t xml:space="preserve">11.4.106</w:t>
            </w:r>
            <w:r>
              <w:t xml:space="preserve"> </w:t>
            </w:r>
            <w:r>
              <w:t xml:space="preserve">now present in all four Herald governance docs (CLAUDE.md r19, AGENTS.md r16, QWEN.md, HERALD_CONSTITUTION.md §108.p) + the §108 cluster header &amp; ToC updated. Herald-applicability classification: APPLICABLE (integration in progress) — unlike the §108.o video non-applicability, Docs Chain directly governs Herald's ~76-doc html/pdf/docx sibling surface (migration plan</w:t>
            </w:r>
            <w:r>
              <w:t xml:space="preserve"> </w:t>
            </w:r>
            <w:r>
              <w:rPr>
                <w:rStyle w:val="VerbatimChar"/>
              </w:rPr>
              <w:t xml:space="preserve">docs/research/docs_chain/HERALD_DOCS_CHAIN_PLAN.md</w:t>
            </w:r>
            <w:r>
              <w:t xml:space="preserve">, planned E146 drift-gate); honest open prerequisites recorded (Phase-4 CLI landed 2026-05-31; exec-staging relative-asset gap G6; binary-hash verify defect found by dogfooding, fix in flight). Required by the upcoming Helix-side</w:t>
            </w:r>
            <w:r>
              <w:t xml:space="preserve"> </w:t>
            </w:r>
            <w:r>
              <w:rPr>
                <w:rStyle w:val="VerbatimChar"/>
              </w:rPr>
              <w:t xml:space="preserve">CM-COVENANT-114-106-PROPAGATION</w:t>
            </w:r>
            <w:r>
              <w:t xml:space="preserve"> </w:t>
            </w:r>
            <w:r>
              <w:t xml:space="preserve">pre-build gate. Prior 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500caddaa53ef6b1faf469401f6b057ce1fa0c7">
        <w:r>
          <w:rPr>
            <w:rStyle w:val="Hyperlink"/>
          </w:rPr>
          <w:t xml:space="preserve">§101. 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 / §11.4.106)</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2" w:name="project-articles"/>
    <w:p>
      <w:pPr>
        <w:pStyle w:val="Heading2"/>
      </w:pPr>
      <w:r>
        <w:t xml:space="preserve">Project Articles</w:t>
      </w:r>
    </w:p>
    <w:bookmarkStart w:id="11" w:name="X500caddaa53ef6b1faf469401f6b057ce1fa0c7"/>
    <w:p>
      <w:pPr>
        <w:pStyle w:val="Heading3"/>
      </w:pPr>
      <w:r>
        <w:t xml:space="preserve">§101. Implementation status</w:t>
      </w:r>
    </w:p>
    <w:p>
      <w:pPr>
        <w:pStyle w:val="FirstParagraph"/>
      </w:pPr>
      <w:r>
        <w:t xml:space="preserve">Herald is in</w:t>
      </w:r>
      <w:r>
        <w:t xml:space="preserve"> </w:t>
      </w:r>
      <w:r>
        <w:rPr>
          <w:b/>
          <w:bCs/>
        </w:rPr>
        <w:t xml:space="preserve">active multi-wave implementation</w:t>
      </w:r>
      <w:r>
        <w:t xml:space="preserve"> </w:t>
      </w:r>
      <w:r>
        <w:t xml:space="preserve">as of 2026-05-31 — waves 2 through 7 have shipped, the</w:t>
      </w:r>
      <w:r>
        <w:t xml:space="preserve"> </w:t>
      </w:r>
      <w:r>
        <w:rPr>
          <w:rStyle w:val="VerbatimChar"/>
        </w:rPr>
        <w:t xml:space="preserve">go.mod</w:t>
      </w:r>
      <w:r>
        <w:t xml:space="preserve">/</w:t>
      </w:r>
      <w:r>
        <w:rPr>
          <w:rStyle w:val="VerbatimChar"/>
        </w:rPr>
        <w:t xml:space="preserve">go.work</w:t>
      </w:r>
      <w:r>
        <w:t xml:space="preserve"> </w:t>
      </w:r>
      <w:r>
        <w:t xml:space="preserve">foundation (18 workspace modules) is committed and green, and the latest tag is</w:t>
      </w:r>
      <w:r>
        <w:t xml:space="preserve"> </w:t>
      </w:r>
      <w:r>
        <w:rPr>
          <w:b/>
          <w:bCs/>
        </w:rPr>
        <w:t xml:space="preserve">v0.6.0</w:t>
      </w:r>
      <w:r>
        <w:t xml:space="preserve"> </w:t>
      </w:r>
      <w:r>
        <w:t xml:space="preserve">(2026-05-28). The original anti-bluff intent of this section is unchanged and now binds the</w:t>
      </w:r>
      <w:r>
        <w:t xml:space="preserve"> </w:t>
      </w:r>
      <w:r>
        <w:rPr>
          <w:i/>
          <w:iCs/>
        </w:rPr>
        <w:t xml:space="preserve">running</w:t>
      </w:r>
      <w:r>
        <w:t xml:space="preserve"> </w:t>
      </w:r>
      <w:r>
        <w:t xml:space="preserve">system: no clause below may be read as authorizing the agent to</w:t>
      </w:r>
      <w:r>
        <w:t xml:space="preserve"> </w:t>
      </w:r>
      <w:r>
        <w:rPr>
          <w:b/>
          <w:bCs/>
        </w:rPr>
        <w:t xml:space="preserve">fabricate</w:t>
      </w:r>
      <w:r>
        <w:t xml:space="preserve"> </w:t>
      </w:r>
      <w:r>
        <w:t xml:space="preserve">build/test infrastructure, runtime evidence, or feature-completeness that does not actually exist and pass (Universal §11.4 / Herald §107). When a requirement is genuinely ambiguous (scaffold vs. fill-spec vs. close an evidence-gated HRD), confirm with the operator before acting,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docs/specs/mvp/specification.V4.md`)</w:t>
      </w:r>
      <w:r>
        <w:rPr>
          <w:rStyle w:val="VerbatimChar"/>
        </w:rPr>
        <w:t xml:space="preserve">MUST appear in</w:t>
      </w:r>
      <w:r>
        <w:t xml:space="preserve">docs/specs/mvp/specification.V4.md`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7" w:name="Xc852ffac7c195a0048edc45985b303aaf75e5ca"/>
    <w:p>
      <w:pPr>
        <w:pStyle w:val="Heading3"/>
      </w:pPr>
      <w:r>
        <w:t xml:space="preserve">§108. Inherited covenant restatements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bookmarkEnd w:id="34"/>
    <w:bookmarkStart w:id="36" w:name="X4824deeff01e94b48d96513d9975c23b5a1404f"/>
    <w:p>
      <w:pPr>
        <w:pStyle w:val="Heading4"/>
      </w:pPr>
      <w:r>
        <w:t xml:space="preserve">§108.p. Docs Chain documentation-sync mandate (extends Universal §11.4.106; Helix 2026-05-29)</w:t>
      </w:r>
    </w:p>
    <w:p>
      <w:pPr>
        <w:pStyle w:val="FirstParagraph"/>
      </w:pPr>
      <w:r>
        <w:rPr>
          <w:b/>
          <w:bCs/>
        </w:rPr>
        <w:t xml:space="preserve">Short tag:</w:t>
      </w:r>
      <w:r>
        <w:t xml:space="preserve"> </w:t>
      </w:r>
      <w:r>
        <w:rPr>
          <w:rStyle w:val="VerbatimChar"/>
        </w:rPr>
        <w:t xml:space="preserve">docs-chain documentation sync</w:t>
      </w:r>
      <w:r>
        <w:t xml:space="preserve">.</w:t>
      </w:r>
    </w:p>
    <w:p>
      <w:pPr>
        <w:pStyle w:val="BodyText"/>
      </w:pPr>
      <w:r>
        <w:t xml:space="preserve">Herald's derived documentation artefacts — every</w:t>
      </w:r>
      <w:r>
        <w:t xml:space="preserve"> </w:t>
      </w:r>
      <w:r>
        <w:rPr>
          <w:rStyle w:val="VerbatimChar"/>
        </w:rPr>
        <w:t xml:space="preserve">.md</w:t>
      </w:r>
      <w:r>
        <w:t xml:space="preserve">'s</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the</w:t>
      </w:r>
      <w:r>
        <w:t xml:space="preserve"> </w:t>
      </w:r>
      <w:r>
        <w:rPr>
          <w:rStyle w:val="VerbatimChar"/>
        </w:rPr>
        <w:t xml:space="preserve">*_Summary.md</w:t>
      </w:r>
      <w:r>
        <w:t xml:space="preserve"> </w:t>
      </w:r>
      <w:r>
        <w:t xml:space="preserve">parity docs (§11.4.12/§11.4.53/§11.4.56), the README doc-link section (§11.4.57), the workable-items DB↔MD projection (§11.4.93/§11.4.95), and the CONTINUATION exports (§12.10) — MUST be kept in sync by the shared</w:t>
      </w:r>
      <w:r>
        <w:t xml:space="preserve"> </w:t>
      </w:r>
      <w:r>
        <w:rPr>
          <w:b/>
          <w:bCs/>
        </w:rPr>
        <w:t xml:space="preserve">Docs Chain</w:t>
      </w:r>
      <w:r>
        <w:t xml:space="preserve"> </w:t>
      </w:r>
      <w:r>
        <w:t xml:space="preserve">engine (</w:t>
      </w:r>
      <w:r>
        <w:rPr>
          <w:rStyle w:val="VerbatimChar"/>
        </w:rPr>
        <w:t xml:space="preserve">digital.vasic.docs_chain</w:t>
      </w:r>
      <w:r>
        <w:t xml:space="preserve">), a content-hashed incremental DAG sync engine consumed BY REFERENCE through the constitution submodule (Phase-6 distribution operator-gated per §11.4.66), NOT by ad-hoc per-doc scripting. The engine</w:t>
      </w:r>
      <w:r>
        <w:t xml:space="preserve"> </w:t>
      </w:r>
      <w:r>
        <w:rPr>
          <w:b/>
          <w:bCs/>
        </w:rPr>
        <w:t xml:space="preserve">refuses to fake success</w:t>
      </w:r>
      <w:r>
        <w:t xml:space="preserve"> </w:t>
      </w:r>
      <w:r>
        <w:t xml:space="preserve">(a missing transform tool → honest rollback, exit 3, no fabricated output) and</w:t>
      </w:r>
      <w:r>
        <w:t xml:space="preserve"> </w:t>
      </w:r>
      <w:r>
        <w:rPr>
          <w:b/>
          <w:bCs/>
        </w:rPr>
        <w:t xml:space="preserve">refuses silent merges</w:t>
      </w:r>
      <w:r>
        <w:t xml:space="preserve"> </w:t>
      </w:r>
      <w:r>
        <w:t xml:space="preserve">(both endpoints of a</w:t>
      </w:r>
      <w:r>
        <w:t xml:space="preserve"> </w:t>
      </w:r>
      <w:r>
        <w:rPr>
          <w:rStyle w:val="VerbatimChar"/>
        </w:rPr>
        <w:t xml:space="preserve">sync</w:t>
      </w:r>
      <w:r>
        <w:t xml:space="preserve"> </w:t>
      </w:r>
      <w:r>
        <w:t xml:space="preserve">edge dirty → conflict, exit 2, zero writes) — making §11.4.6 (no-guessing) and §11.4.50 (deterministic consistency) mechanical rather than aspirational, and emitting per-run evidence to</w:t>
      </w:r>
      <w:r>
        <w:t xml:space="preserve"> </w:t>
      </w:r>
      <w:r>
        <w:rPr>
          <w:rStyle w:val="VerbatimChar"/>
        </w:rPr>
        <w:t xml:space="preserve">qa-results/docs_chain/&lt;run-id&gt;/</w:t>
      </w:r>
      <w:r>
        <w:t xml:space="preserve"> </w:t>
      </w:r>
      <w:r>
        <w:t xml:space="preserve">(§11.4.69).</w:t>
      </w:r>
    </w:p>
    <w:p>
      <w:pPr>
        <w:pStyle w:val="BodyText"/>
      </w:pPr>
      <w:r>
        <w:rPr>
          <w:b/>
          <w:bCs/>
        </w:rPr>
        <w:t xml:space="preserve">Herald-applicability classification: APPLICABLE (integration in progress).</w:t>
      </w:r>
      <w:r>
        <w:t xml:space="preserve"> </w:t>
      </w:r>
      <w:r>
        <w:t xml:space="preserve">Unlike §108.o (video, non-applicable-but-cite), Docs Chain directly governs Herald's documentation surface. Herald's ~76 tracked markdown docs each carry html/pdf/docx siblings produced today by the regen-all</w:t>
      </w:r>
      <w:r>
        <w:t xml:space="preserve"> </w:t>
      </w:r>
      <w:r>
        <w:rPr>
          <w:rStyle w:val="VerbatimChar"/>
        </w:rPr>
        <w:t xml:space="preserve">scripts/export_docs.sh</w:t>
      </w:r>
      <w:r>
        <w:t xml:space="preserve">. The migration plan</w:t>
      </w:r>
      <w:r>
        <w:t xml:space="preserve"> </w:t>
      </w:r>
      <w:hyperlink r:id="rId35">
        <w:r>
          <w:rPr>
            <w:rStyle w:val="VerbatimChar"/>
          </w:rPr>
          <w:t xml:space="preserve">docs/research/docs_chain/HERALD_DOCS_CHAIN_PLAN.md</w:t>
        </w:r>
      </w:hyperlink>
      <w:r>
        <w:t xml:space="preserve"> </w:t>
      </w:r>
      <w:r>
        <w:t xml:space="preserve">wires them through docs_chain</w:t>
      </w:r>
      <w:r>
        <w:t xml:space="preserve"> </w:t>
      </w:r>
      <w:r>
        <w:rPr>
          <w:rStyle w:val="VerbatimChar"/>
        </w:rPr>
        <w:t xml:space="preserve">exec:</w:t>
      </w:r>
      <w:r>
        <w:t xml:space="preserve"> </w:t>
      </w:r>
      <w:r>
        <w:t xml:space="preserve">transforms that preserve Herald's exact logo-CSS pandoc flags (</w:t>
      </w:r>
      <w:r>
        <w:rPr>
          <w:rStyle w:val="VerbatimChar"/>
        </w:rPr>
        <w:t xml:space="preserve">-f gfm -t html5 --css print.css</w:t>
      </w:r>
      <w:r>
        <w:t xml:space="preserve">; weasyprint pdf; pandoc docx) for byte-compatible, zero-regen-drift output across ~223 siblings, gaining content-hash incremental recompute (only-changed) + a</w:t>
      </w:r>
      <w:r>
        <w:t xml:space="preserve"> </w:t>
      </w:r>
      <w:r>
        <w:rPr>
          <w:rStyle w:val="VerbatimChar"/>
        </w:rPr>
        <w:t xml:space="preserve">verify</w:t>
      </w:r>
      <w:r>
        <w:t xml:space="preserve"> </w:t>
      </w:r>
      <w:r>
        <w:t xml:space="preserve">drift-gate (planned</w:t>
      </w:r>
      <w:r>
        <w:t xml:space="preserve"> </w:t>
      </w:r>
      <w:r>
        <w:rPr>
          <w:rStyle w:val="VerbatimChar"/>
        </w:rPr>
        <w:t xml:space="preserve">scripts/e2e_bluff_hunt.sh</w:t>
      </w:r>
      <w:r>
        <w:t xml:space="preserve"> </w:t>
      </w:r>
      <w:r>
        <w:t xml:space="preserve">invariant E146).</w:t>
      </w:r>
    </w:p>
    <w:p>
      <w:pPr>
        <w:pStyle w:val="BodyText"/>
      </w:pPr>
      <w:r>
        <w:rPr>
          <w:b/>
          <w:bCs/>
        </w:rPr>
        <w:t xml:space="preserve">Open integration prerequisites (honest — not yet closed).</w:t>
      </w:r>
      <w:r>
        <w:t xml:space="preserve"> </w:t>
      </w:r>
      <w:r>
        <w:t xml:space="preserve">(1) The Phase-4 docs_chain CLI (</w:t>
      </w:r>
      <w:r>
        <w:rPr>
          <w:rStyle w:val="VerbatimChar"/>
        </w:rPr>
        <w:t xml:space="preserve">sync</w:t>
      </w:r>
      <w:r>
        <w:t xml:space="preserve">/</w:t>
      </w:r>
      <w:r>
        <w:rPr>
          <w:rStyle w:val="VerbatimChar"/>
        </w:rPr>
        <w:t xml:space="preserve">verify</w:t>
      </w:r>
      <w:r>
        <w:t xml:space="preserve">/</w:t>
      </w:r>
      <w:r>
        <w:rPr>
          <w:rStyle w:val="VerbatimChar"/>
        </w:rPr>
        <w:t xml:space="preserve">doctor</w:t>
      </w:r>
      <w:r>
        <w:t xml:space="preserve">/</w:t>
      </w:r>
      <w:r>
        <w:rPr>
          <w:rStyle w:val="VerbatimChar"/>
        </w:rPr>
        <w:t xml:space="preserve">graph</w:t>
      </w:r>
      <w:r>
        <w:t xml:space="preserve">) landed 2026-05-31. (2) Gap G6:</w:t>
      </w:r>
      <w:r>
        <w:t xml:space="preserve"> </w:t>
      </w:r>
      <w:r>
        <w:rPr>
          <w:rStyle w:val="VerbatimChar"/>
        </w:rPr>
        <w:t xml:space="preserve">exec:</w:t>
      </w:r>
      <w:r>
        <w:t xml:space="preserve"> </w:t>
      </w:r>
      <w:r>
        <w:t xml:space="preserve">transforms run against staged temp files, but Herald's html export uses relative logo-CSS /</w:t>
      </w:r>
      <w:r>
        <w:t xml:space="preserve"> </w:t>
      </w:r>
      <w:r>
        <w:rPr>
          <w:rStyle w:val="VerbatimChar"/>
        </w:rPr>
        <w:t xml:space="preserve">&lt;img&gt;</w:t>
      </w:r>
      <w:r>
        <w:t xml:space="preserve"> </w:t>
      </w:r>
      <w:r>
        <w:t xml:space="preserve">paths — the exec-adapter path/cwd contract MUST be read from final source and the wrappers MUST reconstruct absolute asset paths before authoring (§11.4.6 no-guessing). (3) A binary-hash</w:t>
      </w:r>
      <w:r>
        <w:t xml:space="preserve"> </w:t>
      </w:r>
      <w:r>
        <w:rPr>
          <w:rStyle w:val="VerbatimChar"/>
        </w:rPr>
        <w:t xml:space="preserve">verify</w:t>
      </w:r>
      <w:r>
        <w:t xml:space="preserve"> </w:t>
      </w:r>
      <w:r>
        <w:t xml:space="preserve">defect found by dogfooding — binary node-kinds (docx/pdf) hashed inconsistently between the sync-record and verify-check paths, producing false-positive STALE — is being fixed in docs_chain with a pinned regression test; until it lands the drift-gate is trusted for html only.</w:t>
      </w:r>
    </w:p>
    <w:p>
      <w:pPr>
        <w:pStyle w:val="BodyText"/>
      </w:pPr>
      <w:r>
        <w:rPr>
          <w:b/>
          <w:bCs/>
        </w:rPr>
        <w:t xml:space="preserve">Canonical authority.</w:t>
      </w:r>
      <w:r>
        <w:t xml:space="preserve"> </w:t>
      </w:r>
      <w:r>
        <w:t xml:space="preserve">Helix Universal Constitution §11.4.106. Herald §108.p is the project-binding restatement.</w:t>
      </w:r>
    </w:p>
    <w:p>
      <w:pPr>
        <w:pStyle w:val="BodyText"/>
      </w:pPr>
      <w:r>
        <w:rPr>
          <w:b/>
          <w:bCs/>
        </w:rPr>
        <w:t xml:space="preserve">Propagation.</w:t>
      </w:r>
      <w:r>
        <w:t xml:space="preserve"> </w:t>
      </w:r>
      <w:r>
        <w:t xml:space="preserve">§108.p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§11.4.106 is inherited via the §11.4.35 parent-discovery contract; the literal anchor</w:t>
      </w:r>
      <w:r>
        <w:t xml:space="preserve"> </w:t>
      </w:r>
      <w:r>
        <w:rPr>
          <w:rStyle w:val="VerbatimChar"/>
        </w:rPr>
        <w:t xml:space="preserve">11.4.106</w:t>
      </w:r>
      <w:r>
        <w:t xml:space="preserve"> </w:t>
      </w:r>
      <w:r>
        <w:t xml:space="preserve">MUST appear in all three Herald root docs. The Helix-side pre-build gate</w:t>
      </w:r>
      <w:r>
        <w:t xml:space="preserve"> </w:t>
      </w:r>
      <w:r>
        <w:rPr>
          <w:rStyle w:val="VerbatimChar"/>
        </w:rPr>
        <w:t xml:space="preserve">CM-COVENANT-114-106-PROPAGATION</w:t>
      </w:r>
      <w:r>
        <w:t xml:space="preserve"> </w:t>
      </w:r>
      <w:r>
        <w:t xml:space="preserve">enforces this literal-anchor presence (paired §1.1 mutation: strip the anchor → gate FAILs).</w:t>
      </w:r>
    </w:p>
    <w:p>
      <w:pPr>
        <w:pStyle w:val="BodyText"/>
      </w:pPr>
      <w:r>
        <w:rPr>
          <w:b/>
          <w:bCs/>
        </w:rPr>
        <w:t xml:space="preserve">Composition.</w:t>
      </w:r>
      <w:r>
        <w:t xml:space="preserve"> </w:t>
      </w:r>
      <w:r>
        <w:t xml:space="preserve">§108.p composes with §107 (anti-bluff — a</w:t>
      </w:r>
      <w:r>
        <w:t xml:space="preserve"> </w:t>
      </w:r>
      <w:r>
        <w:rPr>
          <w:rStyle w:val="VerbatimChar"/>
        </w:rPr>
        <w:t xml:space="preserve">verify</w:t>
      </w:r>
      <w:r>
        <w:t xml:space="preserve"> </w:t>
      </w:r>
      <w:r>
        <w:t xml:space="preserve">PASS is real evidence the siblings match their sources, never a metadata claim), §108.m (Universal §11.4.98 full-automation —</w:t>
      </w:r>
      <w:r>
        <w:t xml:space="preserve"> </w:t>
      </w:r>
      <w:r>
        <w:rPr>
          <w:rStyle w:val="VerbatimChar"/>
        </w:rPr>
        <w:t xml:space="preserve">sync</w:t>
      </w:r>
      <w:r>
        <w:t xml:space="preserve">/</w:t>
      </w:r>
      <w:r>
        <w:rPr>
          <w:rStyle w:val="VerbatimChar"/>
        </w:rPr>
        <w:t xml:space="preserve">verify</w:t>
      </w:r>
      <w:r>
        <w:t xml:space="preserve"> </w:t>
      </w:r>
      <w:r>
        <w:t xml:space="preserve">run with no operator presence), §108.n (Universal §11.4.99 latest-source documentation — the engine keeps exports in sync but the operator still authors the source + revision header), and §108.j/§108.k (Universal §11.4.95/§11.4.96 — the workable-items DB↔MD sync edge is the same engine, pending DB materialization, gap G2).</w:t>
      </w:r>
    </w:p>
    <w:p>
      <w:pPr>
        <w:pStyle w:val="BodyText"/>
      </w:pPr>
      <w:r>
        <w:rPr>
          <w:b/>
          <w:bCs/>
        </w:rPr>
        <w:t xml:space="preserve">Non-compliance is a release blocker.</w:t>
      </w:r>
      <w:r>
        <w:t xml:space="preserve"> </w:t>
      </w:r>
      <w:r>
        <w:t xml:space="preserve">No</w:t>
      </w:r>
      <w:r>
        <w:t xml:space="preserve"> </w:t>
      </w:r>
      <w:r>
        <w:rPr>
          <w:rStyle w:val="VerbatimChar"/>
        </w:rPr>
        <w:t xml:space="preserve">--skip-docs-sync</w:t>
      </w:r>
      <w:r>
        <w:t xml:space="preserve">,</w:t>
      </w:r>
      <w:r>
        <w:t xml:space="preserve"> </w:t>
      </w:r>
      <w:r>
        <w:rPr>
          <w:rStyle w:val="VerbatimChar"/>
        </w:rPr>
        <w:t xml:space="preserve">--exports-stale-OK</w:t>
      </w:r>
      <w:r>
        <w:t xml:space="preserve">,</w:t>
      </w:r>
      <w:r>
        <w:t xml:space="preserve"> </w:t>
      </w:r>
      <w:r>
        <w:rPr>
          <w:rStyle w:val="VerbatimChar"/>
        </w:rPr>
        <w:t xml:space="preserve">--regen-later</w:t>
      </w:r>
      <w:r>
        <w:t xml:space="preserve"> </w:t>
      </w:r>
      <w:r>
        <w:t xml:space="preserve">flag exists; once the drift-gate is live, a doc whose committed siblings are stale vs their source is a §107 documentation-layer bluff.</w:t>
      </w:r>
    </w:p>
    <w:p>
      <w:r>
        <w:pict>
          <v:rect style="width:0;height:1.5pt" o:hralign="center" o:hrstd="t" o:hr="t"/>
        </w:pict>
      </w:r>
    </w:p>
    <w:bookmarkEnd w:id="36"/>
    <w:bookmarkEnd w:id="37"/>
    <w:bookmarkStart w:id="44"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8">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9"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9"/>
    <w:bookmarkStart w:id="40"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40"/>
    <w:bookmarkStart w:id="41"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41"/>
    <w:bookmarkStart w:id="42"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2"/>
    <w:bookmarkStart w:id="43"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3"/>
    <w:bookmarkEnd w:id="44"/>
    <w:bookmarkStart w:id="51"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5">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6"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6"/>
    <w:bookmarkStart w:id="47"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7"/>
    <w:bookmarkStart w:id="48"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8"/>
    <w:bookmarkStart w:id="49"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9"/>
    <w:bookmarkStart w:id="50"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50"/>
    <w:bookmarkEnd w:id="51"/>
    <w:bookmarkEnd w:id="52"/>
    <w:bookmarkStart w:id="53"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3"/>
    <w:bookmarkStart w:id="54"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4"/>
    <w:bookmarkStart w:id="55"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5"/>
    <w:bookmarkStart w:id="56" w:name="notes"/>
    <w:p>
      <w:pPr>
        <w:pStyle w:val="Heading2"/>
      </w:pPr>
      <w:r>
        <w:t xml:space="preserve">Notes</w:t>
      </w:r>
    </w:p>
    <w:p>
      <w:pPr>
        <w:pStyle w:val="FirstParagraph"/>
      </w:pPr>
      <w:r>
        <w:t xml:space="preserve">Herald's spec is now in V3 (</w:t>
      </w:r>
      <w:r>
        <w:rPr>
          <w:rStyle w:val="VerbatimChar"/>
        </w:rPr>
        <w:t xml:space="preserve">docs/specs/mvp/specification.V4.md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