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**r48: §11.4.19 closed HRD-117 (Wave 7 T8 spec-doc) Issues→Fixed — its deliverable is VERIFIED PRESENT in the active spec V4 (§11.0 line 1548 "Wave 7 inbound-runtime extension" note +</w:t>
            </w:r>
            <w:r>
              <w:t xml:space="preserve"> </w:t>
            </w:r>
            <w:r>
              <w:rPr>
                <w:rStyle w:val="VerbatimChar"/>
              </w:rPr>
              <w:t xml:space="preserve">Channel.Subscribe</w:t>
            </w:r>
            <w:r>
              <w:t xml:space="preserve">, §32.2 Telegram/Slack LIVE,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row); doc-only (no product code — that shipped under HRD-116/118/119/120/121, already Fixed). Open 10→9. Prior r47: §11.4.90 + §11.4.19 atomic Obsolete→Fixed migration — moved the 4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-status HRDs (HRD-143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live test, HRD-144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closed-loop script, HRD-145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mode, HRD-015 Go-scaffold inheritance-gate I8 invariants) out of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each preserving its full</w:t>
            </w:r>
            <w:r>
              <w:t xml:space="preserve"> </w:t>
            </w:r>
            <w:r>
              <w:rPr>
                <w:rStyle w:val="VerbatimChar"/>
              </w:rPr>
              <w:t xml:space="preserve">**Obsolete-Details:**</w:t>
            </w:r>
            <w:r>
              <w:t xml:space="preserve"> </w:t>
            </w:r>
            <w:r>
              <w:t xml:space="preserve">line (Since / Reason / Superseding-item / triple-check evidence per §11.4.90). Each superseding artefact was re-verified to exist before migration: HRD-140/141/142 MTProto-driven replacement tests present under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</w:t>
            </w:r>
            <w:r>
              <w:t xml:space="preserve">, their Fixed.md rows present, the legacy source comment / shell script /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Cobra flag still on disk; HRD-015's I8a/b/c §107-covenant checks present at</w:t>
            </w:r>
            <w:r>
              <w:t xml:space="preserve"> </w:t>
            </w:r>
            <w:r>
              <w:rPr>
                <w:rStyle w:val="VerbatimChar"/>
              </w:rPr>
              <w:t xml:space="preserve">tests/test_constitution_inheritance.sh:133-137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commons/types.go</w:t>
            </w:r>
            <w:r>
              <w:t xml:space="preserve"> </w:t>
            </w:r>
            <w:r>
              <w:t xml:space="preserve">+ null adapter build green. Open count 14→10. Prior **r46: added two participant-attribution columns —</w:t>
            </w:r>
            <w:r>
              <w:t xml:space="preserve"> </w:t>
            </w:r>
            <w:r>
              <w:rPr>
                <w:rStyle w:val="VerbatimChar"/>
              </w:rPr>
              <w:t xml:space="preserve">Created-By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Assigned-To</w:t>
            </w:r>
            <w:r>
              <w:t xml:space="preserve"> </w:t>
            </w:r>
            <w:r>
              <w:t xml:space="preserve">— to BOTH pipe-tables (the "Open" + "In progress" tracker tables), each placed immediately AFTER the</w:t>
            </w:r>
            <w:r>
              <w:t xml:space="preserve"> </w:t>
            </w:r>
            <w:r>
              <w:rPr>
                <w:rStyle w:val="VerbatimChar"/>
              </w:rPr>
              <w:t xml:space="preserve">Criticality</w:t>
            </w:r>
            <w:r>
              <w:t xml:space="preserve"> </w:t>
            </w:r>
            <w:r>
              <w:t xml:space="preserve">column (before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 so the severity-grouped metadata stays together and the long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stays at the right edge (per</w:t>
            </w:r>
            <w:r>
              <w:t xml:space="preserve"> 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 </w:t>
            </w:r>
            <w:r>
              <w:t xml:space="preserve">§4c). Tables widen 8→10 columns; header + separator + every data row updated programmatically (</w:t>
            </w:r>
            <w:r>
              <w:rPr>
                <w:rStyle w:val="VerbatimChar"/>
              </w:rPr>
              <w:t xml:space="preserve">/tmp/add_attribution_cols.py</w:t>
            </w:r>
            <w:r>
              <w:t xml:space="preserve">) so every row's `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HRD-081, HRD-115, HRD-131, HRD-150, HRD-155, HRD-156, HRD-157, HRD-158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9 open / in-progress workable items (r47 §11.4.90+§11.4.19-migrated the 4 Obsolete HRDs — HRD-143/144/145 legacy-live-test supersessions + HRD-015 Go-scaffold I8 design-supersession — out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; was 43, r43 had already §11.4.19-migrated 51 code-verified HRDs). The 10 remaining: HRD-115 (Slack adapter — operator-gated on LIVE round-trip evidence), HRD-117 (spec doc-only), HRD-131/150/155/156/157/158 (ATMOSphere/SSoT externally gated), HRD-081/008 (upstream/operator-validation). r35 (Tgram-completeness wave COMPLETE) atomically migrated HRD-133/134/135/136/137/138 Issues→Fixed per §11.4.19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 r34..r17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HRD-015, HRD-016, HRD-017, HRD-018, HRD-019..HRD-025, HRD-026, HRD-027, HRD-028, HRD-029..HRD-056, HRD-080, HRD-085..HRD-089, HRD-090, HRD-092, HRD-093, HRD-094, HRD-095, HRD-096, HRD-097, HRD-098, HRD-099, HRD-100, HRD-110, HRD-111, HRD-112, HRD-113, HRD-114, HRD-116, HRD-118, HRD-119, HRD-120, HRD-121, HRD-122, HRD-123, HRD-124, HRD-125, HRD-126, HRD-127, HRD-128, HRD-129, HRD-130, HRD-132, HRD-133, HRD-134, HRD-135, HRD-136, HRD-137, HRD-138, HRD-139, HRD-140, HRD-141, HRD-142, HRD-143, HRD-144, HRD-145, HRD-146, HRD-147, HRD-148, HRD-149, HRD-151, HRD-152, HRD-153, HRD-154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  <w:r>
              <w:t xml:space="preserve"> </w:t>
            </w:r>
            <w:r>
              <w:rPr>
                <w:b/>
                <w:bCs/>
              </w:rPr>
              <w:t xml:space="preserve">LIVE PROGRESS 2026-06-02:</w:t>
            </w:r>
            <w:r>
              <w:t xml:space="preserve"> </w:t>
            </w:r>
            <w:r>
              <w:t xml:space="preserve">operator supplied</w:t>
            </w:r>
            <w:r>
              <w:t xml:space="preserve"> </w:t>
            </w:r>
            <w:r>
              <w:rPr>
                <w:rStyle w:val="VerbatimChar"/>
              </w:rPr>
              <w:t xml:space="preserve">HERALD_SLACK_{BOT_TOKEN,APP_TOKEN,CHANNEL_ID,OPERATOR_USERNAME}</w:t>
            </w:r>
            <w:r>
              <w:t xml:space="preserve">; live-proven outbound Send (Web API, real</w:t>
            </w:r>
            <w:r>
              <w:t xml:space="preserve"> </w:t>
            </w:r>
            <w:r>
              <w:rPr>
                <w:rStyle w:val="VerbatimChar"/>
              </w:rPr>
              <w:t xml:space="preserve">ts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PASS (E127 anchor), app-token Socket-Mode validity (</w:t>
            </w:r>
            <w:r>
              <w:rPr>
                <w:rStyle w:val="VerbatimChar"/>
              </w:rPr>
              <w:t xml:space="preserve">apps.connections.open ok=true wss-url</w:t>
            </w:r>
            <w:r>
              <w:t xml:space="preserve">), 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--channels slack</w:t>
            </w:r>
            <w:r>
              <w:t xml:space="preserve"> </w:t>
            </w:r>
            <w:r>
              <w:t xml:space="preserve">real boot —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docs/qa/HRD-115-LIVE-20260602T074249Z/</w:t>
            </w:r>
            <w:r>
              <w:t xml:space="preserve">. Also wired: §11.4.104 participant Resolver in the listen path (Slack+Telegram),</w:t>
            </w:r>
            <w:r>
              <w:t xml:space="preserve"> </w:t>
            </w:r>
            <w:r>
              <w:rPr>
                <w:rStyle w:val="VerbatimChar"/>
              </w:rPr>
              <w:t xml:space="preserve">--channels</w:t>
            </w:r>
            <w:r>
              <w:t xml:space="preserve"> </w:t>
            </w:r>
            <w:r>
              <w:t xml:space="preserve">flag (G4), Slack</w:t>
            </w:r>
            <w:r>
              <w:t xml:space="preserve"> </w:t>
            </w:r>
            <w:r>
              <w:rPr>
                <w:rStyle w:val="VerbatimChar"/>
              </w:rPr>
              <w:t xml:space="preserve">&lt;@U…&gt;</w:t>
            </w:r>
            <w:r>
              <w:t xml:space="preserve"> </w:t>
            </w:r>
            <w:r>
              <w:t xml:space="preserve">§109 outbound tagging (</w:t>
            </w:r>
            <w:r>
              <w:rPr>
                <w:rStyle w:val="VerbatimChar"/>
              </w:rPr>
              <w:t xml:space="preserve">slack/mentions.go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workflow.go</w:t>
            </w:r>
            <w:r>
              <w:t xml:space="preserve"> </w:t>
            </w:r>
            <w:r>
              <w:t xml:space="preserve">notifier), build-tagged</w:t>
            </w:r>
            <w:r>
              <w:t xml:space="preserve"> </w:t>
            </w:r>
            <w:r>
              <w:rPr>
                <w:rStyle w:val="VerbatimChar"/>
              </w:rPr>
              <w:t xml:space="preserve">slack</w:t>
            </w:r>
            <w:r>
              <w:t xml:space="preserve"> </w:t>
            </w:r>
            <w:r>
              <w:t xml:space="preserve">integration + stress/chaos tests.</w:t>
            </w:r>
            <w:r>
              <w:t xml:space="preserve"> </w:t>
            </w:r>
            <w:r>
              <w:rPr>
                <w:b/>
                <w:bCs/>
              </w:rPr>
              <w:t xml:space="preserve">STILL OPEN:</w:t>
            </w:r>
            <w:r>
              <w:t xml:space="preserve"> </w:t>
            </w:r>
            <w:r>
              <w:t xml:space="preserve">a self-driving §11.4.98 inbound round-trip needs a SECOND Slack identity (2nd bot or user token) — a bot cannot see its own messages; the 4 provided vars cannot self-drive a round-trip. Closing on send-only evidence would be a §107 bluff.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  <w:r>
              <w:t xml:space="preserve"> </w:t>
            </w:r>
            <w:r>
              <w:rPr>
                <w:b/>
                <w:bCs/>
              </w:rPr>
              <w:t xml:space="preserve">2026-05-29 re-assessment:</w:t>
            </w:r>
            <w:r>
              <w:t xml:space="preserve"> </w:t>
            </w:r>
            <w:r>
              <w:t xml:space="preserve">Phase 2 remains EXTERNALLY BLOCKED —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is still a non-functional scaffold (0/7 subcommands implemented,</w:t>
            </w:r>
            <w:r>
              <w:t xml:space="preserve"> </w:t>
            </w:r>
            <w:r>
              <w:rPr>
                <w:rStyle w:val="VerbatimChar"/>
              </w:rPr>
              <w:t xml:space="preserve">go build</w:t>
            </w:r>
            <w:r>
              <w:t xml:space="preserve"> </w:t>
            </w:r>
            <w:r>
              <w:t xml:space="preserve">succeeds but every command exits 2 "not yet implemented"; full 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). Herald cannot proceed beyond Phase 1 without reimplementing the binary, which §11.4.74 forbids. The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→ canonical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path reconciliation is DEFERRED BY DESIGN per CLAUDE.md §11.4.95 ("reconcile to the canonical path when the DB is implemented") — reconciling now would churn 4 governance docs (inheritance-gate risk) for a file that does not yet exist and could create a new dot/no-dot split.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bidirectional MD↔SQLite regenerator + drift resolution (reference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per §11.4.74, supply the ATMOSphere-format parser the tool lacks).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(HRD-W4);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operationalize the workable-items SQLite tool + reconcile HRD-131 (implement the tool's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/</w:t>
            </w:r>
            <w:r>
              <w:rPr>
                <w:rStyle w:val="VerbatimChar"/>
              </w:rPr>
              <w:t xml:space="preserve">report</w:t>
            </w:r>
            <w:r>
              <w:t xml:space="preserve"> </w:t>
            </w:r>
            <w:r>
              <w:t xml:space="preserve">+ ATMOSphere-format parser upstream in the constitution repo per §11.4.74; external blocker for SSoT materialization).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(HRD-W11) + §10; composes with HRD-131;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full-automation test suite (T-A real-SQLite→real-Telegram via MTProto; T-B inbound→real-row-mutation; T-C exact-diff byte-assert; T-D/T-E §11.4.85 stress/chaos; T-F paired §1.1 mutation gate; wrap as Challenges for HelixQA; all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A; Catalogue-Check: reuse Herald e2e + §11.4.85 + MTProto harness + ATMOSphere HelixQA/Challenges.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Phase 3 — register Herald as a proper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(replace the broken orphan gitlink, operator-chosen 2026-05-29), materialize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, wire host-side runner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), seed Subscribers, run live T-A..T-F evidence.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§5; Catalogue-Check: mirror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 </w:t>
            </w:r>
            <w:r>
              <w:t xml:space="preserve">host-tool pattern.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covenant verbatim-phrase propagation: add the operator phrase to root</w:t>
            </w:r>
            <w:r>
              <w:t xml:space="preserve"> </w:t>
            </w:r>
            <w:r>
              <w:rPr>
                <w:rStyle w:val="VerbatimChar"/>
              </w:rPr>
              <w:t xml:space="preserve">constitution/QWEN.md</w:t>
            </w:r>
            <w:r>
              <w:t xml:space="preserve"> </w:t>
            </w:r>
            <w:r>
              <w:t xml:space="preserve">(HelixConstitution) → cascade to ATMOSphere root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+ all 25 submodules'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(6 helixqa confirmed-missing; audit the other ~18) + Herald README.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B; §11.4.26 fetch-first governance workflow; Catalogue-Check: n/a.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