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herald-status"/>
    <w:p>
      <w:pPr>
        <w:pStyle w:val="Heading1"/>
      </w:pPr>
      <w:r>
        <w:t xml:space="preserve">Herald —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Foundation M1 + M2 + M3 all landed + HRD-010 commons_storage live wiring closed.</w:t>
            </w:r>
            <w:r>
              <w:t xml:space="preserve"> </w:t>
            </w:r>
            <w:r>
              <w:t xml:space="preserve">M1: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(14 files, ~2.9k LOC) — Evaluator + Registry + 12 emit helpers + BundleHash + ModeLadder + ConstitutionStore + MemoryBus + Runner + CloudEvents v1.0 adapter. M2 (commit c8eed7e): Postgres backends with live RLS-tenant-isolation proof. M3 (commit 21593e6): Gin REST surface + 4 M3 submodules + LIVE</w:t>
            </w:r>
            <w:r>
              <w:t xml:space="preserve"> </w:t>
            </w:r>
            <w:r>
              <w:rPr>
                <w:rStyle w:val="VerbatimChar"/>
              </w:rPr>
              <w:t xml:space="preserve">pherald serve</w:t>
            </w:r>
            <w:r>
              <w:t xml:space="preserve"> </w:t>
            </w:r>
            <w:r>
              <w:t xml:space="preserve">accepting HTTP on :24791. HRD-010 (commits 82ea82d..13cea69): pgx pool + RLS-enforcing WithTenantContext (discovered + fixed a production RLS-bypass bug — the E14 falsifiability test caught the bootstrap-superuser-bypasses-FORCE-RLS class of bluff before it shipped) + queue (digital.vasic.background bound via pgxTaskRepository) + Redis (digital.vasic.cache) +</w:t>
            </w:r>
            <w:r>
              <w:t xml:space="preserve"> </w:t>
            </w:r>
            <w:r>
              <w:rPr>
                <w:rStyle w:val="VerbatimChar"/>
              </w:rPr>
              <w:t xml:space="preserve">pherald migrate up/status/down/validate</w:t>
            </w:r>
            <w:r>
              <w:t xml:space="preserve"> </w:t>
            </w:r>
            <w:r>
              <w:t xml:space="preserve">CLI + Models/Concurrency submodules added. Anti-bluff regime: e2e_bluff_hunt.sh now</w:t>
            </w:r>
            <w:r>
              <w:t xml:space="preserve"> </w:t>
            </w:r>
            <w:r>
              <w:rPr>
                <w:b/>
                <w:bCs/>
              </w:rPr>
              <w:t xml:space="preserve">18/18 PASS</w:t>
            </w:r>
            <w:r>
              <w:t xml:space="preserve"> </w:t>
            </w:r>
            <w:r>
              <w:t xml:space="preserve">against real services (was 14 — added E14/E15/E16 storage invariants in commit 13cea69); audit_antibluff.sh 14/14 PASS; inheritance gate 15/15 PASS.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HRD-011, HRD-012, HRD-015, HRD-016, HRD-018 (in_progress), HRD-019..HRD-028, HRD-029..HRD-056, HRD-081, HRD-085..HRD-090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— 51 open items spanning live channel integrations (HRD-011/012), REST surface (HRD-016), §42 constitution bindings (HRD-018..028), §43 command-catalogue (HRD-029..056), HRD-081 (containers podman-compose adapter refinement), and HRD-085..090 (queue-repository stub-completion surface opened during HRD-010).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HRD-013, HRD-014, HRD-017, HRD-080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HRD-010 closed; live channel integrations next. Priority order: HRD-008 (operator quickstart e2e validation) → HRD-011/012 (Telegram + Claude Code live) → HRD-085..090 (queue-repository stub completion) → §42 constitution-binding rollout (HRD-018..028) → §43 command catalogue (HRD-029..056). Each milestone followed by multi-mirror push + full anti-bluff verification (audit + gate + e2e bluff-hunt).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project-phase">
        <w:r>
          <w:rPr>
            <w:rStyle w:val="Hyperlink"/>
          </w:rPr>
          <w:t xml:space="preserve">Project phase</w:t>
        </w:r>
      </w:hyperlink>
    </w:p>
    <w:p>
      <w:pPr>
        <w:pStyle w:val="Compact"/>
        <w:numPr>
          <w:ilvl w:val="0"/>
          <w:numId w:val="1001"/>
        </w:numPr>
      </w:pPr>
      <w:hyperlink w:anchor="specification">
        <w:r>
          <w:rPr>
            <w:rStyle w:val="Hyperlink"/>
          </w:rPr>
          <w:t xml:space="preserve">Specification</w:t>
        </w:r>
      </w:hyperlink>
    </w:p>
    <w:p>
      <w:pPr>
        <w:pStyle w:val="Compact"/>
        <w:numPr>
          <w:ilvl w:val="0"/>
          <w:numId w:val="1001"/>
        </w:numPr>
      </w:pPr>
      <w:hyperlink w:anchor="implementation">
        <w:r>
          <w:rPr>
            <w:rStyle w:val="Hyperlink"/>
          </w:rPr>
          <w:t xml:space="preserve">Implementation</w:t>
        </w:r>
      </w:hyperlink>
    </w:p>
    <w:p>
      <w:pPr>
        <w:pStyle w:val="Compact"/>
        <w:numPr>
          <w:ilvl w:val="0"/>
          <w:numId w:val="1001"/>
        </w:numPr>
      </w:pPr>
      <w:hyperlink w:anchor="operations">
        <w:r>
          <w:rPr>
            <w:rStyle w:val="Hyperlink"/>
          </w:rPr>
          <w:t xml:space="preserve">Operations</w:t>
        </w:r>
      </w:hyperlink>
    </w:p>
    <w:p>
      <w:pPr>
        <w:pStyle w:val="Compact"/>
        <w:numPr>
          <w:ilvl w:val="0"/>
          <w:numId w:val="1001"/>
        </w:numPr>
      </w:pPr>
      <w:hyperlink w:anchor="risk-surface">
        <w:r>
          <w:rPr>
            <w:rStyle w:val="Hyperlink"/>
          </w:rPr>
          <w:t xml:space="preserve">Risk surface</w:t>
        </w:r>
      </w:hyperlink>
    </w:p>
    <w:bookmarkEnd w:id="9"/>
    <w:bookmarkStart w:id="10" w:name="project-phase"/>
    <w:p>
      <w:pPr>
        <w:pStyle w:val="Heading2"/>
      </w:pPr>
      <w:r>
        <w:t xml:space="preserve">Project phase</w:t>
      </w:r>
    </w:p>
    <w:p>
      <w:pPr>
        <w:pStyle w:val="FirstParagraph"/>
      </w:pPr>
      <w:r>
        <w:rPr>
          <w:b/>
          <w:bCs/>
        </w:rPr>
        <w:t xml:space="preserve">Implementation-r1, Foundation complete.</w:t>
      </w:r>
      <w:r>
        <w:t xml:space="preserve"> </w:t>
      </w:r>
      <w:r>
        <w:t xml:space="preserve">Spec V3 r6 is active, the Go module foundation compiles, all three Foundation milestones (M1/M2/M3) have landed, and the §107 end-user-usability covenant is now explicit in Herald’s three root docs + gate (added 2026-05-20). The remaining cycle is wiring live channel integrations and validating the §26.5 quickstart end-to-end on operator hardware.</w:t>
      </w:r>
    </w:p>
    <w:bookmarkEnd w:id="10"/>
    <w:bookmarkStart w:id="11" w:name="specification"/>
    <w:p>
      <w:pPr>
        <w:pStyle w:val="Heading2"/>
      </w:pPr>
      <w:r>
        <w:t xml:space="preserve">Specification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(Revision 7, ~4300 lines).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Recent sections:</w:t>
      </w:r>
      <w:r>
        <w:t xml:space="preserve"> </w:t>
      </w:r>
      <w:r>
        <w:t xml:space="preserve">§37 Tracker-doc change events; §38 Workable-item announcement contract; §39 Message presentation + Herald Canonical Template; §40 Documentation + 15 named test challenges; §41 REST API surface (Gin Gonic); §42 Constitution-binding integration; §43 Constitution-derived flavor commands (27 entries → HRD-029..HRD-056); §44 Foundation implementation contract.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Spec-change rule:</w:t>
      </w:r>
      <w:r>
        <w:t xml:space="preserve"> </w:t>
      </w:r>
      <w:r>
        <w:t xml:space="preserve">§23 + HERALD_CONSTITUTION §106 + I7 gate — green throughout.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End-user-usability covenant:</w:t>
      </w:r>
      <w:r>
        <w:t xml:space="preserve"> </w:t>
      </w:r>
      <w:r>
        <w:t xml:space="preserve">HERALD_CONSTITUTION §107 + I8 gate (added 2026-05-20) — green; paired §1.1 mutation meta-test in</w:t>
      </w:r>
      <w:r>
        <w:t xml:space="preserve"> </w:t>
      </w:r>
      <w:r>
        <w:rPr>
          <w:rStyle w:val="VerbatimChar"/>
        </w:rPr>
        <w:t xml:space="preserve">tests/test_i8_usability_meta.sh</w:t>
      </w:r>
      <w:r>
        <w:t xml:space="preserve"> </w:t>
      </w:r>
      <w:r>
        <w:t xml:space="preserve">(5/5 PASS).</w:t>
      </w:r>
    </w:p>
    <w:bookmarkEnd w:id="11"/>
    <w:bookmarkStart w:id="12" w:name="implementation"/>
    <w:p>
      <w:pPr>
        <w:pStyle w:val="Heading2"/>
      </w:pPr>
      <w:r>
        <w:t xml:space="preserve">Implementation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</w:t>
            </w:r>
            <w:r>
              <w:t xml:space="preserve"> </w:t>
            </w:r>
            <w:r>
              <w:t xml:space="preserve">(L0)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§11.0 types + Clock + UUIDv7 + DefaultBranding;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commons_prefix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§8.2 algorithm + 5 test functions;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</w:p>
        </w:tc>
        <w:tc>
          <w:tcPr/>
          <w:p>
            <w:pPr>
              <w:pStyle w:val="Compact"/>
            </w:pPr>
            <w:r>
              <w:t xml:space="preserve">✅ landed (M1)</w:t>
            </w:r>
          </w:p>
        </w:tc>
        <w:tc>
          <w:tcPr/>
          <w:p>
            <w:pPr>
              <w:pStyle w:val="Compact"/>
            </w:pPr>
            <w:r>
              <w:t xml:space="preserve">14 files, ~2.9k LOC — Evaluator + Registry + 12 emit helpers + BundleHash + ModeLadder + ConstitutionStore + MemoryBus + Runner + CloudEvents v1.0 adapter; all green under</w:t>
            </w:r>
            <w:r>
              <w:t xml:space="preserve"> </w:t>
            </w:r>
            <w:r>
              <w:rPr>
                <w:rStyle w:val="VerbatimChar"/>
              </w:rPr>
              <w:t xml:space="preserve">go test -race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null:// adapter fully working; Telegram + Claude Code stubs in place (HRD-011/012 for live wiring).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commons_storage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✅ landed (M2 + HRD-010)</w:t>
            </w:r>
          </w:p>
        </w:tc>
        <w:tc>
          <w:tcPr/>
          <w:p>
            <w:pPr>
              <w:pStyle w:val="Compact"/>
            </w:pPr>
            <w:r>
              <w:t xml:space="preserve">9 SQL migrations embedded; pgx pool + RLS-enforcing WithTenantContext live (commit c8168ec); HRD-010 (commits 82ea82d..13cea69) wired queue (digital.vasic.background → pgxTaskRepository) + Redis (digital.vasic.cache) + the</w:t>
            </w:r>
            <w:r>
              <w:t xml:space="preserve"> </w:t>
            </w:r>
            <w:r>
              <w:rPr>
                <w:rStyle w:val="VerbatimChar"/>
              </w:rPr>
              <w:t xml:space="preserve">pherald migrate up/status/down/validate</w:t>
            </w:r>
            <w:r>
              <w:t xml:space="preserve"> </w:t>
            </w:r>
            <w:r>
              <w:t xml:space="preserve">CLI. The §107 covenant proved its worth here: the E14 RLS falsifiability test caught (and the implementer fixed) a real production RLS-bypass bug where the bootstrap PG superuser silently bypassed</w:t>
            </w:r>
            <w:r>
              <w:t xml:space="preserve"> </w:t>
            </w:r>
            <w:r>
              <w:rPr>
                <w:rStyle w:val="VerbatimChar"/>
              </w:rPr>
              <w:t xml:space="preserve">FORCE ROW LEVEL SECURITY</w:t>
            </w:r>
            <w:r>
              <w:t xml:space="preserve">. HRD-085..090 opened to track the remaining 16 pgxTaskRepository methods returning</w:t>
            </w:r>
            <w:r>
              <w:t xml:space="preserve"> </w:t>
            </w:r>
            <w:r>
              <w:rPr>
                <w:rStyle w:val="VerbatimChar"/>
              </w:rPr>
              <w:t xml:space="preserve">ErrUnsupported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commons_infra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QuickstartBoot + WithTenantContext + on-demand container orchestration via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partial (M3)</w:t>
            </w:r>
          </w:p>
        </w:tc>
        <w:tc>
          <w:tcPr/>
          <w:p>
            <w:pPr>
              <w:pStyle w:val="Compact"/>
            </w:pPr>
            <w:r>
              <w:t xml:space="preserve">Cobra root + version 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serve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(live HTTP on :24791, /v1/healthz, /v1/readyz, /v1/events, /metrics)</w:t>
            </w:r>
            <w:r>
              <w:t xml:space="preserve">, commit 21593e6. send/doctor/migrate/subscriber/deadletter stubbed with HRD pointers.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flavors (sherald/bherald/cherald/rherald/iherald/scherald)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  <w:tc>
          <w:tcPr/>
          <w:p>
            <w:pPr>
              <w:pStyle w:val="Compact"/>
            </w:pPr>
            <w:r>
              <w:t xml:space="preserve">scaffold once HRD-018..028 §42 binding rollout begins.</w:t>
            </w:r>
          </w:p>
        </w:tc>
      </w:tr>
    </w:tbl>
    <w:bookmarkEnd w:id="12"/>
    <w:bookmarkStart w:id="13" w:name="operations"/>
    <w:p>
      <w:pPr>
        <w:pStyle w:val="Heading2"/>
      </w:pPr>
      <w:r>
        <w:t xml:space="preserve">Operations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 hygiene: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only; four-mirror fan-out proven across spec + Foundation M1/M2/M3 + anti-bluff infra + §107 covenant landing.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Constitution inheritance gate:</w:t>
      </w:r>
      <w:r>
        <w:t xml:space="preserve"> </w:t>
      </w:r>
      <w:r>
        <w:rPr>
          <w:b/>
          <w:bCs/>
        </w:rPr>
        <w:t xml:space="preserve">15 PASS / 0 FAIL</w:t>
      </w:r>
      <w:r>
        <w:t xml:space="preserve"> </w:t>
      </w:r>
      <w:r>
        <w:t xml:space="preserve">(was 12; I8a/b/c added 2026-05-20 for §107 covenant).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Anti-bluff audit:</w:t>
      </w:r>
      <w:r>
        <w:t xml:space="preserve"> </w:t>
      </w:r>
      <w:r>
        <w:rPr>
          <w:b/>
          <w:bCs/>
        </w:rPr>
        <w:t xml:space="preserve">14 PASS / 0 FAIL</w:t>
      </w:r>
      <w:r>
        <w:t xml:space="preserve"> </w:t>
      </w:r>
      <w:r>
        <w:t xml:space="preserve">(was 13; I8 paired meta-test added).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CodeGraph validate:</w:t>
      </w:r>
      <w:r>
        <w:t xml:space="preserve"> </w:t>
      </w:r>
      <w:r>
        <w:t xml:space="preserve">7 PASS / 0 FAIL.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E2E bluff-hunt against real services:</w:t>
      </w:r>
      <w:r>
        <w:t xml:space="preserve"> </w:t>
      </w:r>
      <w:r>
        <w:rPr>
          <w:b/>
          <w:bCs/>
        </w:rPr>
        <w:t xml:space="preserve">18 PASS / 0 FAIL</w:t>
      </w:r>
      <w:r>
        <w:t xml:space="preserve"> </w:t>
      </w:r>
      <w:r>
        <w:t xml:space="preserve">(was 14; HRD-010 added E14 live-RLS-isolation + E15 live-queue-enqueue/dequeue + E16 live-Redis-TTL-round-trip in commit 13cea69) — builds pherald, starts real Gin server, hits live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endpoints, boots real Postgres + Redis containers via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submodule, runs M2 RLS integration tests + HRD-010 storage tests against the live stack, SIGTERM-graceful-shutdowns. This is the canonical §107 evidence per Herald §107.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Submodules:</w:t>
      </w:r>
      <w:r>
        <w:t xml:space="preserve"> </w:t>
      </w:r>
      <w:r>
        <w:t xml:space="preserve">12 vendored — 11 Helix-stack capability modules under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eventbus</w:t>
      </w:r>
      <w:r>
        <w:t xml:space="preserve">,</w:t>
      </w:r>
      <w:r>
        <w:t xml:space="preserve"> </w:t>
      </w:r>
      <w:r>
        <w:rPr>
          <w:rStyle w:val="VerbatimChar"/>
        </w:rPr>
        <w:t xml:space="preserve">middleware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 </w:t>
      </w:r>
      <w:r>
        <w:t xml:space="preserve">added during HRD-010) referenced 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directives in consuming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files, NOT via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; plus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(runtime auto-detection + on-demand container boot, consumed directly by Foundation tests +</w:t>
      </w:r>
      <w:r>
        <w:t xml:space="preserve"> </w:t>
      </w:r>
      <w:r>
        <w:rPr>
          <w:rStyle w:val="VerbatimChar"/>
        </w:rPr>
        <w:t xml:space="preserve">pherald doctor</w:t>
      </w:r>
      <w:r>
        <w:t xml:space="preserve">). All 12 carry the §11.4 anti-bluff anchor.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 / test toolchain:</w:t>
      </w:r>
      <w:r>
        <w:t xml:space="preserve"> </w:t>
      </w:r>
      <w:r>
        <w:t xml:space="preserve">Go 1.25+ (verified on 1.26 per CLAUDE.md), Pandoc 3.9, WeasyPrint 66, Podman 5.8 — verified locally.</w:t>
      </w:r>
    </w:p>
    <w:bookmarkEnd w:id="13"/>
    <w:bookmarkStart w:id="15" w:name="risk-surface"/>
    <w:p>
      <w:pPr>
        <w:pStyle w:val="Heading2"/>
      </w:pPr>
      <w:r>
        <w:t xml:space="preserve">Risk surface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Submodule-catalogue discovery (operator mandate 2026-05-20).</w:t>
      </w:r>
      <w:r>
        <w:t xml:space="preserve"> </w:t>
      </w:r>
      <w:r>
        <w:t xml:space="preserve">Every new HRD MUST carry a</w:t>
      </w:r>
      <w:r>
        <w:t xml:space="preserve"> </w:t>
      </w:r>
      <w:r>
        <w:rPr>
          <w:rStyle w:val="VerbatimChar"/>
        </w:rPr>
        <w:t xml:space="preserve">Catalogue-Check: reuse|extend|no-match &lt;org/repo&gt;@&lt;sha&gt;</w:t>
      </w:r>
      <w:r>
        <w:t xml:space="preserve"> </w:t>
      </w:r>
      <w:r>
        <w:t xml:space="preserve">line per Universal §11.4.74. New HRDs (HRD-029..056 §43 catalogue) currently default to</w:t>
      </w:r>
      <w:r>
        <w:t xml:space="preserve"> </w:t>
      </w:r>
      <w:r>
        <w:rPr>
          <w:rStyle w:val="VerbatimChar"/>
        </w:rPr>
        <w:t xml:space="preserve">TBD</w:t>
      </w:r>
      <w:r>
        <w:t xml:space="preserve"> </w:t>
      </w:r>
      <w:r>
        <w:t xml:space="preserve">pending operator review.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Versioning discipline (operator mandate 2026-05-20).</w:t>
      </w:r>
      <w:r>
        <w:t xml:space="preserve"> </w:t>
      </w:r>
      <w:r>
        <w:t xml:space="preserve">Minor changes bump secondary version, major bump primary. Currently at V3 r6→r7 within the V3 series; a full V4 rewrite is reserved for a primary-version jump.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Live channel integrations untested at runtime.</w:t>
      </w:r>
      <w:r>
        <w:t xml:space="preserve"> </w:t>
      </w:r>
      <w:r>
        <w:t xml:space="preserve">HRD-011 (Telegram telebot live) + HRD-012 (Claude Code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 </w:t>
      </w:r>
      <w:r>
        <w:t xml:space="preserve">live) require operator-supplied credentials per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. The §107 covenant blocks claims of</w:t>
      </w:r>
      <w:r>
        <w:t xml:space="preserve"> </w:t>
      </w:r>
      <w:r>
        <w:t xml:space="preserve">“done”</w:t>
      </w:r>
      <w:r>
        <w:t xml:space="preserve"> </w:t>
      </w:r>
      <w:r>
        <w:t xml:space="preserve">on these until end-user evidence is captured.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HRD-008 operator-side quickstart not yet validated end-to-end on a fresh laptop.</w:t>
      </w:r>
      <w:r>
        <w:t xml:space="preserve"> </w:t>
      </w:r>
      <w:r>
        <w:t xml:space="preserve">The compose stack works in dev; operator hardware validation is the next concrete §107 evidence point.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CI yet.</w:t>
      </w:r>
      <w:r>
        <w:t xml:space="preserve"> </w:t>
      </w:r>
      <w:r>
        <w:t xml:space="preserve">No GitHub Actions / GitLab CI / etc. Operator runs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manually for now — that script IS the local CI surrogate.</w:t>
      </w:r>
    </w:p>
    <w:bookmarkStart w:id="14" w:name="closed-risks"/>
    <w:p>
      <w:pPr>
        <w:pStyle w:val="Heading3"/>
      </w:pPr>
      <w:r>
        <w:t xml:space="preserve">Closed risks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Production RLS-bypass bug (closed 2026-05-20 during HRD-010 step 3,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5c1c022</w:t>
      </w:r>
      <w:r>
        <w:rPr>
          <w:b/>
          <w:bCs/>
        </w:rPr>
        <w:t xml:space="preserve">).</w:t>
      </w:r>
      <w:r>
        <w:t xml:space="preserve"> </w:t>
      </w:r>
      <w:r>
        <w:t xml:space="preserve">Until that commit,</w:t>
      </w:r>
      <w:r>
        <w:t xml:space="preserve"> </w:t>
      </w:r>
      <w:r>
        <w:rPr>
          <w:rStyle w:val="VerbatimChar"/>
        </w:rPr>
        <w:t xml:space="preserve">commons_infra.WithTenantContext</w:t>
      </w:r>
      <w:r>
        <w:t xml:space="preserve"> </w:t>
      </w:r>
      <w:r>
        <w:t xml:space="preserve">set the tenant GUC but</w:t>
      </w:r>
      <w:r>
        <w:t xml:space="preserve"> </w:t>
      </w:r>
      <w:r>
        <w:rPr>
          <w:rStyle w:val="VerbatimChar"/>
        </w:rPr>
        <w:t xml:space="preserve">ROW LEVEL SECURITY</w:t>
      </w:r>
      <w:r>
        <w:t xml:space="preserve"> </w:t>
      </w:r>
      <w:r>
        <w:t xml:space="preserve">was not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d on the targeted tables — and the bootstrap PG user used in tests was a superuser, which bypasses RLS regardless. The E14 falsifiability test (real Postgres, cross-tenant SELECT must return EXACTLY 0 rows from the other tenant) caught the bluff before any live deployment. Fix: switched the application connection to a non-superuser role + ran</w:t>
      </w:r>
      <w:r>
        <w:t xml:space="preserve"> </w:t>
      </w:r>
      <w:r>
        <w:rPr>
          <w:rStyle w:val="VerbatimChar"/>
        </w:rPr>
        <w:t xml:space="preserve">ALTER TABLE … FORCE ROW LEVEL SECURITY</w:t>
      </w:r>
      <w:r>
        <w:t xml:space="preserve"> </w:t>
      </w:r>
      <w:r>
        <w:t xml:space="preserve">in migration 000003. The §107 covenant directly prevented this from shipping; the lesson is</w:t>
      </w:r>
      <w:r>
        <w:t xml:space="preserve"> </w:t>
      </w:r>
      <w:r>
        <w:t xml:space="preserve">“EXACT-N row count, never &gt;=N”</w:t>
      </w:r>
      <w:r>
        <w:t xml:space="preserve"> </w:t>
      </w:r>
      <w:r>
        <w:t xml:space="preserve">for any isolation test.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</dc:title>
  <dc:creator/>
  <cp:keywords/>
  <dcterms:created xsi:type="dcterms:W3CDTF">2026-05-20T18:56:13Z</dcterms:created>
  <dcterms:modified xsi:type="dcterms:W3CDTF">2026-05-20T18:56:13Z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