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6" w:name="herald--iherald-flavor-guide-operator"/>
    <w:p>
      <w:pPr>
        <w:pStyle w:val="Heading1"/>
      </w:pPr>
      <w:r>
        <w:t xml:space="preserve">Herald —</w:t>
      </w:r>
      <w:r>
        <w:t xml:space="preserve"> </w:t>
      </w:r>
      <w:r>
        <w:rPr>
          <w:rStyle w:val="VerbatimChar"/>
        </w:rPr>
        <w:t xml:space="preserve">iherald</w:t>
      </w:r>
      <w:r>
        <w:t xml:space="preserve"> </w:t>
      </w:r>
      <w:r>
        <w:t xml:space="preserve">Flavor Guide (Operator)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Nano-detail operator reference for</w:t>
            </w:r>
            <w:r>
              <w:t xml:space="preserve"> </w:t>
            </w: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(Incident Herald) — a serving flavor (DefaultPort=24794). Documents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and its now-LIVE application route</w:t>
            </w:r>
            <w:r>
              <w:t xml:space="preserve"> </w:t>
            </w:r>
            <w:r>
              <w:rPr>
                <w:rStyle w:val="VerbatimChar"/>
              </w:rPr>
              <w:t xml:space="preserve">POST /v1/webhooks/page</w:t>
            </w:r>
            <w:r>
              <w:t xml:space="preserve"> </w:t>
            </w:r>
            <w:r>
              <w:t xml:space="preserve">(HRD-024): a JWT-gated escalation handler driving the</w:t>
            </w:r>
            <w:r>
              <w:t xml:space="preserve"> </w:t>
            </w:r>
            <w:r>
              <w:rPr>
                <w:rStyle w:val="VerbatimChar"/>
              </w:rPr>
              <w:t xml:space="preserve">iherald/internal/bindings</w:t>
            </w:r>
            <w:r>
              <w:t xml:space="preserve"> </w:t>
            </w:r>
            <w:r>
              <w:t xml:space="preserve">Pipeline → emit CloudEvent → persist state/audit → 202 + Receipt. ANTI-BLUFF: derived from the built</w:t>
            </w:r>
            <w:r>
              <w:t xml:space="preserve"> </w:t>
            </w: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binary (</w:t>
            </w:r>
            <w:r>
              <w:rPr>
                <w:rStyle w:val="VerbatimChar"/>
              </w:rPr>
              <w:t xml:space="preserve">iherald --help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 --json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commons/branding.go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iherald/internal/page/page.go</w:t>
            </w:r>
            <w:r>
              <w:t xml:space="preserve">. Third-party pager egress (PagerDuty/Opsgenie) is a separate operator-credentialed subscriber — each Receipt discloses</w:t>
            </w:r>
            <w:r>
              <w:t xml:space="preserve"> </w:t>
            </w:r>
            <w:r>
              <w:rPr>
                <w:rStyle w:val="VerbatimChar"/>
              </w:rPr>
              <w:t xml:space="preserve">pager_delivery</w:t>
            </w:r>
            <w:r>
              <w:t xml:space="preserve">; no fake "pager notified" 200 (§11.4.69).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(none specific to this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when HRD-024 lands the live</w:t>
            </w:r>
            <w:r>
              <w:t xml:space="preserve"> </w:t>
            </w:r>
            <w:r>
              <w:rPr>
                <w:rStyle w:val="VerbatimChar"/>
              </w:rPr>
              <w:t xml:space="preserve">/v1/webhooks/page</w:t>
            </w:r>
            <w:r>
              <w:t xml:space="preserve"> </w:t>
            </w:r>
            <w:r>
              <w:t xml:space="preserve">paging handler body.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03cbc4c512dfd83fa6cca6aa440fbea69bbfba4">
        <w:r>
          <w:rPr>
            <w:rStyle w:val="Hyperlink"/>
          </w:rPr>
          <w:t xml:space="preserve">§1. What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iherald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</w:t>
        </w:r>
      </w:hyperlink>
    </w:p>
    <w:p>
      <w:pPr>
        <w:pStyle w:val="Compact"/>
        <w:numPr>
          <w:ilvl w:val="0"/>
          <w:numId w:val="1001"/>
        </w:numPr>
      </w:pPr>
      <w:hyperlink w:anchor="Xbfa3324c3b40c8a9673e08bddf1d4fc81e7fbd0">
        <w:r>
          <w:rPr>
            <w:rStyle w:val="Hyperlink"/>
          </w:rPr>
          <w:t xml:space="preserve">§2. The subcommand surface</w:t>
        </w:r>
      </w:hyperlink>
    </w:p>
    <w:p>
      <w:pPr>
        <w:pStyle w:val="Compact"/>
        <w:numPr>
          <w:ilvl w:val="0"/>
          <w:numId w:val="1001"/>
        </w:numPr>
      </w:pPr>
      <w:hyperlink w:anchor="X450cd858fa10a68f86114de778fbcf6c8129252">
        <w:r>
          <w:rPr>
            <w:rStyle w:val="Hyperlink"/>
          </w:rPr>
          <w:t xml:space="preserve">§3.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version</w:t>
        </w:r>
      </w:hyperlink>
    </w:p>
    <w:p>
      <w:pPr>
        <w:pStyle w:val="Compact"/>
        <w:numPr>
          <w:ilvl w:val="0"/>
          <w:numId w:val="1001"/>
        </w:numPr>
      </w:pPr>
      <w:hyperlink w:anchor="Xadfe645b02f89907cfcfa89f8bbc4e4050a6d1a">
        <w:r>
          <w:rPr>
            <w:rStyle w:val="Hyperlink"/>
          </w:rPr>
          <w:t xml:space="preserve">§4.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serve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and the 501 paging stub</w:t>
        </w:r>
      </w:hyperlink>
    </w:p>
    <w:p>
      <w:pPr>
        <w:pStyle w:val="Compact"/>
        <w:numPr>
          <w:ilvl w:val="0"/>
          <w:numId w:val="1001"/>
        </w:numPr>
      </w:pPr>
      <w:hyperlink w:anchor="Xa559bd5247f9128e74e6edcc17de37648e8cde6">
        <w:r>
          <w:rPr>
            <w:rStyle w:val="Hyperlink"/>
          </w:rPr>
          <w:t xml:space="preserve">§5. References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X03cbc4c512dfd83fa6cca6aa440fbea69bbfba4"/>
    <w:p>
      <w:pPr>
        <w:pStyle w:val="Heading2"/>
      </w:pPr>
      <w:r>
        <w:t xml:space="preserve">§1. What</w:t>
      </w:r>
      <w:r>
        <w:t xml:space="preserve"> </w:t>
      </w:r>
      <w:r>
        <w:rPr>
          <w:rStyle w:val="VerbatimChar"/>
        </w:rPr>
        <w:t xml:space="preserve">iherald</w:t>
      </w:r>
      <w:r>
        <w:t xml:space="preserve"> </w:t>
      </w:r>
      <w:r>
        <w:t xml:space="preserve">is</w:t>
      </w:r>
    </w:p>
    <w:p>
      <w:pPr>
        <w:pStyle w:val="FirstParagraph"/>
      </w:pPr>
      <w:r>
        <w:rPr>
          <w:rStyle w:val="VerbatimChar"/>
        </w:rPr>
        <w:t xml:space="preserve">iherald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Incident Herald</w:t>
      </w:r>
      <w:r>
        <w:t xml:space="preserve"> </w:t>
      </w:r>
      <w:r>
        <w:t xml:space="preserve">— flavor key</w:t>
      </w:r>
      <w:r>
        <w:t xml:space="preserve"> </w:t>
      </w:r>
      <w:r>
        <w:rPr>
          <w:rStyle w:val="VerbatimChar"/>
        </w:rPr>
        <w:t xml:space="preserve">i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IHR</w:t>
      </w:r>
      <w:r>
        <w:t xml:space="preserve">, default serving port</w:t>
      </w:r>
      <w:r>
        <w:t xml:space="preserve"> </w:t>
      </w:r>
      <w:r>
        <w:rPr>
          <w:b/>
          <w:bCs/>
        </w:rPr>
        <w:t xml:space="preserve">24794</w:t>
      </w:r>
      <w:r>
        <w:t xml:space="preserve">. Per</w:t>
      </w:r>
      <w:r>
        <w:t xml:space="preserve"> </w:t>
      </w:r>
      <w:r>
        <w:rPr>
          <w:rStyle w:val="VerbatimChar"/>
        </w:rPr>
        <w:t xml:space="preserve">commons/branding.go</w:t>
      </w:r>
      <w:r>
        <w:t xml:space="preserve"> </w:t>
      </w:r>
      <w:r>
        <w:t xml:space="preserve">its mission is "Credential-leak page-out + operator-blocked escalation". It is the paging surface for incident escalation. As of HRD-024 its</w:t>
      </w:r>
      <w:r>
        <w:t xml:space="preserve"> </w:t>
      </w:r>
      <w:r>
        <w:rPr>
          <w:rStyle w:val="VerbatimChar"/>
        </w:rPr>
        <w:t xml:space="preserve">POST /v1/webhooks/page</w:t>
      </w:r>
      <w:r>
        <w:t xml:space="preserve"> </w:t>
      </w:r>
      <w:r>
        <w:t xml:space="preserve">route is</w:t>
      </w:r>
      <w:r>
        <w:t xml:space="preserve"> </w:t>
      </w:r>
      <w:r>
        <w:rPr>
          <w:b/>
          <w:bCs/>
        </w:rPr>
        <w:t xml:space="preserve">LIVE</w:t>
      </w:r>
      <w:r>
        <w:t xml:space="preserve">: a JWT-gated handler that classifies the page through the</w:t>
      </w:r>
      <w:r>
        <w:t xml:space="preserve"> </w:t>
      </w:r>
      <w:r>
        <w:rPr>
          <w:rStyle w:val="VerbatimChar"/>
        </w:rPr>
        <w:t xml:space="preserve">iherald/internal/bindings</w:t>
      </w:r>
      <w:r>
        <w:t xml:space="preserve"> </w:t>
      </w:r>
      <w:r>
        <w:t xml:space="preserve">escalation Pipeline, emits the</w:t>
      </w:r>
      <w:r>
        <w:t xml:space="preserve"> </w:t>
      </w:r>
      <w:r>
        <w:rPr>
          <w:rStyle w:val="VerbatimChar"/>
        </w:rPr>
        <w:t xml:space="preserve">.credential.leak</w:t>
      </w:r>
      <w:r>
        <w:t xml:space="preserve">/</w:t>
      </w:r>
      <w:r>
        <w:rPr>
          <w:rStyle w:val="VerbatimChar"/>
        </w:rPr>
        <w:t xml:space="preserve">.policy.violation</w:t>
      </w:r>
      <w:r>
        <w:t xml:space="preserve"> </w:t>
      </w:r>
      <w:r>
        <w:t xml:space="preserve">CloudEvent on the constitution bus, persists</w:t>
      </w:r>
      <w:r>
        <w:t xml:space="preserve"> </w:t>
      </w:r>
      <w:r>
        <w:rPr>
          <w:rStyle w:val="VerbatimChar"/>
        </w:rPr>
        <w:t xml:space="preserve">constitution_state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constitution_audit</w:t>
      </w:r>
      <w:r>
        <w:t xml:space="preserve">, and returns</w:t>
      </w:r>
      <w:r>
        <w:t xml:space="preserve"> </w:t>
      </w:r>
      <w:r>
        <w:rPr>
          <w:rStyle w:val="VerbatimChar"/>
        </w:rPr>
        <w:t xml:space="preserve">202</w:t>
      </w:r>
      <w:r>
        <w:t xml:space="preserve"> </w:t>
      </w:r>
      <w:r>
        <w:t xml:space="preserve">+ a Receipt. Actual outbound delivery to a third-party pager (PagerDuty/Opsgenie) is a separate operator-credentialed bus subscriber — every Receipt carries a</w:t>
      </w:r>
      <w:r>
        <w:t xml:space="preserve"> </w:t>
      </w:r>
      <w:r>
        <w:rPr>
          <w:rStyle w:val="VerbatimChar"/>
        </w:rPr>
        <w:t xml:space="preserve">pager_delivery</w:t>
      </w:r>
      <w:r>
        <w:t xml:space="preserve"> </w:t>
      </w:r>
      <w:r>
        <w:t xml:space="preserve">disclosure note; no fake "pager notified" 200 is returned (the §11.4.69 anti-bluff posture).</w:t>
      </w:r>
    </w:p>
    <w:p>
      <w:pPr>
        <w:pStyle w:val="BodyText"/>
      </w:pPr>
      <w:r>
        <w:t xml:space="preserve">Build it: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/tmp/iherald ./iherald/cmd/iherald</w:t>
      </w:r>
    </w:p>
    <w:bookmarkEnd w:id="10"/>
    <w:bookmarkStart w:id="11" w:name="Xbfa3324c3b40c8a9673e08bddf1d4fc81e7fbd0"/>
    <w:p>
      <w:pPr>
        <w:pStyle w:val="Heading2"/>
      </w:pPr>
      <w:r>
        <w:t xml:space="preserve">§2. The subcommand surface</w:t>
      </w:r>
    </w:p>
    <w:p>
      <w:pPr>
        <w:pStyle w:val="FirstParagraph"/>
      </w:pPr>
      <w:r>
        <w:t xml:space="preserve">Verbatim from</w:t>
      </w:r>
      <w:r>
        <w:t xml:space="preserve"> </w:t>
      </w:r>
      <w:r>
        <w:rPr>
          <w:rStyle w:val="VerbatimChar"/>
        </w:rPr>
        <w:t xml:space="preserve">iherald --help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iherald</w:t>
      </w:r>
      <w:r>
        <w:t xml:space="preserve"> </w:t>
      </w:r>
      <w:r>
        <w:t xml:space="preserve">has the smallest surface of all flavors (no §43 command catalogue yet):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</w:p>
        </w:tc>
        <w:tc>
          <w:tcPr/>
          <w:p>
            <w:pPr>
              <w:pStyle w:val="Compact"/>
            </w:pPr>
            <w:r>
              <w:t xml:space="preserve">Start the Incident Herald HTTP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Print Incident Herald version + build 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completion</w:t>
            </w:r>
          </w:p>
        </w:tc>
        <w:tc>
          <w:tcPr/>
          <w:p>
            <w:pPr>
              <w:pStyle w:val="Compact"/>
            </w:pPr>
            <w:r>
              <w:t xml:space="preserve">Generate shell autocompletion (Cobra built-in)</w:t>
            </w:r>
          </w:p>
        </w:tc>
      </w:tr>
    </w:tbl>
    <w:bookmarkEnd w:id="11"/>
    <w:bookmarkStart w:id="12" w:name="X450cd858fa10a68f86114de778fbcf6c8129252"/>
    <w:p>
      <w:pPr>
        <w:pStyle w:val="Heading2"/>
      </w:pPr>
      <w:r>
        <w:t xml:space="preserve">§3.</w:t>
      </w:r>
      <w:r>
        <w:t xml:space="preserve"> </w:t>
      </w:r>
      <w:r>
        <w:rPr>
          <w:rStyle w:val="VerbatimChar"/>
        </w:rPr>
        <w:t xml:space="preserve">version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iherald version </w:t>
      </w:r>
      <w:r>
        <w:rPr>
          <w:rStyle w:val="AttributeTok"/>
        </w:rPr>
        <w:t xml:space="preserve">--json</w:t>
      </w:r>
      <w:r>
        <w:br/>
      </w:r>
      <w:r>
        <w:rPr>
          <w:rStyle w:val="DataTypeTok"/>
        </w:rPr>
        <w:t xml:space="preserve">{</w:t>
      </w:r>
      <w:r>
        <w:rPr>
          <w:rStyle w:val="StringTok"/>
        </w:rPr>
        <w:t xml:space="preserve">"arch"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"arm64"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"binary"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"iherald"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"build_time"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"unknown"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"commit"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"unknown"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"flavor"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"go_version"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"go1.26.2"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"os"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"darwin"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"version"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"0.0.0-dev"</w:t>
      </w:r>
      <w:r>
        <w:rPr>
          <w:rStyle w:val="DataTypeTok"/>
        </w:rPr>
        <w:t xml:space="preserve">}</w:t>
      </w:r>
    </w:p>
    <w:bookmarkEnd w:id="12"/>
    <w:bookmarkStart w:id="13" w:name="Xadfe645b02f89907cfcfa89f8bbc4e4050a6d1a"/>
    <w:p>
      <w:pPr>
        <w:pStyle w:val="Heading2"/>
      </w:pPr>
      <w:r>
        <w:t xml:space="preserve">§4.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 </w:t>
      </w:r>
      <w:r>
        <w:t xml:space="preserve">— and the 501 paging stub</w:t>
      </w:r>
    </w:p>
    <w:p>
      <w:pPr>
        <w:pStyle w:val="FirstParagraph"/>
      </w:pPr>
      <w:r>
        <w:rPr>
          <w:rStyle w:val="VerbatimChar"/>
        </w:rPr>
        <w:t xml:space="preserve">iherald serve</w:t>
      </w:r>
      <w:r>
        <w:t xml:space="preserve"> </w:t>
      </w:r>
      <w:r>
        <w:t xml:space="preserve">starts the Incident Herald HTTP server on port 24794. Like the other serving flavors it exposes the standard health/metrics surface (</w:t>
      </w:r>
      <w:r>
        <w:rPr>
          <w:rStyle w:val="VerbatimChar"/>
        </w:rPr>
        <w:t xml:space="preserve">/v1/healthz</w:t>
      </w:r>
      <w:r>
        <w:t xml:space="preserve">,</w:t>
      </w:r>
      <w:r>
        <w:t xml:space="preserve"> </w:t>
      </w:r>
      <w:r>
        <w:rPr>
          <w:rStyle w:val="VerbatimChar"/>
        </w:rPr>
        <w:t xml:space="preserve">/v1/readyz</w:t>
      </w:r>
      <w:r>
        <w:t xml:space="preserve">,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), and shares the</w:t>
      </w:r>
      <w:r>
        <w:t xml:space="preserve"> </w:t>
      </w:r>
      <w:r>
        <w:rPr>
          <w:rStyle w:val="VerbatimChar"/>
        </w:rPr>
        <w:t xml:space="preserve">commons/cli</w:t>
      </w:r>
      <w:r>
        <w:t xml:space="preserve"> </w:t>
      </w:r>
      <w:r>
        <w:t xml:space="preserve">serve scaffold.</w:t>
      </w:r>
    </w:p>
    <w:p>
      <w:pPr>
        <w:pStyle w:val="BodyText"/>
      </w:pPr>
      <w:r>
        <w:rPr>
          <w:b/>
          <w:bCs/>
        </w:rPr>
        <w:t xml:space="preserve">The application route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 /v1/webhooks/page</w:t>
      </w:r>
      <w:r>
        <w:rPr>
          <w:b/>
          <w:bCs/>
        </w:rPr>
        <w:t xml:space="preserve"> </w:t>
      </w:r>
      <w:r>
        <w:rPr>
          <w:b/>
          <w:bCs/>
        </w:rPr>
        <w:t xml:space="preserve">is LIVE (HRD-024).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iherald/internal/page/page.go</w:t>
      </w:r>
      <w:r>
        <w:t xml:space="preserve"> </w:t>
      </w:r>
      <w:r>
        <w:t xml:space="preserve">it is a JWT+tenant-gated handler (via</w:t>
      </w:r>
      <w:r>
        <w:t xml:space="preserve"> </w:t>
      </w:r>
      <w:r>
        <w:rPr>
          <w:rStyle w:val="VerbatimChar"/>
        </w:rPr>
        <w:t xml:space="preserve">commons_auth.GinMiddleware</w:t>
      </w:r>
      <w:r>
        <w:t xml:space="preserve">) that accepts a page webhook body (</w:t>
      </w:r>
      <w:r>
        <w:rPr>
          <w:rStyle w:val="VerbatimChar"/>
        </w:rPr>
        <w:t xml:space="preserve">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subject_kind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subject_id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operator_id</w:t>
      </w:r>
      <w:r>
        <w:t xml:space="preserve">), classifies it through the matching</w:t>
      </w:r>
      <w:r>
        <w:t xml:space="preserve"> </w:t>
      </w:r>
      <w:r>
        <w:rPr>
          <w:rStyle w:val="VerbatimChar"/>
        </w:rPr>
        <w:t xml:space="preserve">iherald/internal/bindings</w:t>
      </w:r>
      <w:r>
        <w:t xml:space="preserve"> </w:t>
      </w:r>
      <w:r>
        <w:t xml:space="preserve">escalation rule (§11.4.10 credential-leak page-out, §11.4.21 operator-blocked, §11.4.66 blocker-clarification, §18.8 incident-severity), emits the</w:t>
      </w:r>
      <w:r>
        <w:t xml:space="preserve"> </w:t>
      </w:r>
      <w:r>
        <w:rPr>
          <w:rStyle w:val="VerbatimChar"/>
        </w:rPr>
        <w:t xml:space="preserve">.credential.leak</w:t>
      </w:r>
      <w:r>
        <w:t xml:space="preserve">/</w:t>
      </w:r>
      <w:r>
        <w:rPr>
          <w:rStyle w:val="VerbatimChar"/>
        </w:rPr>
        <w:t xml:space="preserve">.policy.violation</w:t>
      </w:r>
      <w:r>
        <w:t xml:space="preserve"> </w:t>
      </w:r>
      <w:r>
        <w:t xml:space="preserve">CloudEvent on the constitution bus, persists</w:t>
      </w:r>
      <w:r>
        <w:t xml:space="preserve"> </w:t>
      </w:r>
      <w:r>
        <w:rPr>
          <w:rStyle w:val="VerbatimChar"/>
        </w:rPr>
        <w:t xml:space="preserve">constitution_state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constitution_audit</w:t>
      </w:r>
      <w:r>
        <w:t xml:space="preserve">, and returns</w:t>
      </w:r>
      <w:r>
        <w:t xml:space="preserve"> </w:t>
      </w:r>
      <w:r>
        <w:rPr>
          <w:rStyle w:val="VerbatimChar"/>
        </w:rPr>
        <w:t xml:space="preserve">202</w:t>
      </w:r>
      <w:r>
        <w:t xml:space="preserve"> </w:t>
      </w:r>
      <w:r>
        <w:t xml:space="preserve">+ a Receipt (</w:t>
      </w:r>
      <w:r>
        <w:rPr>
          <w:rStyle w:val="VerbatimChar"/>
        </w:rPr>
        <w:t xml:space="preserve">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</w:t>
      </w:r>
      <w:r>
        <w:t xml:space="preserve">). Malformed/unknown-rule bodies return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event_parser:</w:t>
      </w:r>
      <w:r>
        <w:t xml:space="preserve">-tagged error; an</w:t>
      </w:r>
      <w:r>
        <w:t xml:space="preserve"> </w:t>
      </w:r>
      <w:r>
        <w:rPr>
          <w:rStyle w:val="VerbatimChar"/>
        </w:rPr>
        <w:t xml:space="preserve">operator_id</w:t>
      </w:r>
      <w:r>
        <w:t xml:space="preserve"> </w:t>
      </w:r>
      <w:r>
        <w:t xml:space="preserve">outside the</w:t>
      </w:r>
      <w:r>
        <w:t xml:space="preserve"> </w:t>
      </w:r>
      <w:r>
        <w:rPr>
          <w:rStyle w:val="VerbatimChar"/>
        </w:rPr>
        <w:t xml:space="preserve">HERALD_OPERATOR_IDS</w:t>
      </w:r>
      <w:r>
        <w:t xml:space="preserve"> </w:t>
      </w:r>
      <w:r>
        <w:t xml:space="preserve">allow-list (when configured) 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for the operator-gated rules.</w:t>
      </w:r>
      <w:r>
        <w:t xml:space="preserve"> </w:t>
      </w:r>
      <w:r>
        <w:rPr>
          <w:b/>
          <w:bCs/>
        </w:rPr>
        <w:t xml:space="preserve">Honest follow-up:</w:t>
      </w:r>
      <w:r>
        <w:t xml:space="preserve"> </w:t>
      </w:r>
      <w:r>
        <w:t xml:space="preserve">outbound delivery to a third-party pager (PagerDuty Events API / Opsgenie) is a separate operator-credentialed bus subscriber — the emitted event IS the in-Herald page-out; each Receipt carries a</w:t>
      </w:r>
      <w:r>
        <w:t xml:space="preserve"> </w:t>
      </w:r>
      <w:r>
        <w:rPr>
          <w:rStyle w:val="VerbatimChar"/>
        </w:rPr>
        <w:t xml:space="preserve">pager_delivery</w:t>
      </w:r>
      <w:r>
        <w:t xml:space="preserve"> </w:t>
      </w:r>
      <w:r>
        <w:t xml:space="preserve">disclosure. No fake 200.</w:t>
      </w:r>
    </w:p>
    <w:p>
      <w:pPr>
        <w:pStyle w:val="SourceCode"/>
      </w:pPr>
      <w:r>
        <w:rPr>
          <w:rStyle w:val="ExtensionTok"/>
        </w:rPr>
        <w:t xml:space="preserve">iherald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--http-port</w:t>
      </w:r>
      <w:r>
        <w:rPr>
          <w:rStyle w:val="NormalTok"/>
        </w:rPr>
        <w:t xml:space="preserve"> 24794</w:t>
      </w:r>
      <w:r>
        <w:br/>
      </w:r>
      <w:r>
        <w:rPr>
          <w:rStyle w:val="CommentTok"/>
        </w:rPr>
        <w:t xml:space="preserve"># POST /v1/webhooks/page  →  501 Not Implemented  (HRD-024 pending)</w:t>
      </w:r>
    </w:p>
    <w:p>
      <w:pPr>
        <w:pStyle w:val="FirstParagraph"/>
      </w:pPr>
      <w:r>
        <w:t xml:space="preserve">Do not build a pager integration against</w:t>
      </w:r>
      <w:r>
        <w:t xml:space="preserve"> </w:t>
      </w:r>
      <w:r>
        <w:rPr>
          <w:rStyle w:val="VerbatimChar"/>
        </w:rPr>
        <w:t xml:space="preserve">/v1/webhooks/page</w:t>
      </w:r>
      <w:r>
        <w:t xml:space="preserve"> </w:t>
      </w:r>
      <w:r>
        <w:t xml:space="preserve">yet — it does not deliver. The</w:t>
      </w:r>
      <w:r>
        <w:t xml:space="preserve"> </w:t>
      </w:r>
      <w:r>
        <w:rPr>
          <w:rStyle w:val="VerbatimChar"/>
        </w:rPr>
        <w:t xml:space="preserve">iherald/internal/bindings/</w:t>
      </w:r>
      <w:r>
        <w:t xml:space="preserve"> </w:t>
      </w:r>
      <w:r>
        <w:t xml:space="preserve">package supplies the constitution-binding scaffold (incident/escalation Evaluator) that the future handler will consume, but the handler body itself is not written.</w:t>
      </w:r>
    </w:p>
    <w:bookmarkEnd w:id="13"/>
    <w:bookmarkStart w:id="14" w:name="Xa559bd5247f9128e74e6edcc17de37648e8cde6"/>
    <w:p>
      <w:pPr>
        <w:pStyle w:val="Heading2"/>
      </w:pPr>
      <w:r>
        <w:t xml:space="preserve">§5. References</w:t>
      </w:r>
    </w:p>
    <w:p>
      <w:pPr>
        <w:pStyle w:val="Compact"/>
        <w:numPr>
          <w:ilvl w:val="0"/>
          <w:numId w:val="1002"/>
        </w:numPr>
      </w:pPr>
      <w:r>
        <w:t xml:space="preserve">Source:</w:t>
      </w:r>
      <w:r>
        <w:t xml:space="preserve"> </w:t>
      </w:r>
      <w:r>
        <w:rPr>
          <w:rStyle w:val="VerbatimChar"/>
        </w:rPr>
        <w:t xml:space="preserve">iherald/cmd/iherald/main.go</w:t>
      </w:r>
      <w:r>
        <w:t xml:space="preserve">,</w:t>
      </w:r>
      <w:r>
        <w:t xml:space="preserve"> </w:t>
      </w:r>
      <w:r>
        <w:rPr>
          <w:rStyle w:val="VerbatimChar"/>
        </w:rPr>
        <w:t xml:space="preserve">iherald/internal/http/routes.go</w:t>
      </w:r>
      <w:r>
        <w:t xml:space="preserve">,</w:t>
      </w:r>
      <w:r>
        <w:t xml:space="preserve"> </w:t>
      </w:r>
      <w:r>
        <w:rPr>
          <w:rStyle w:val="VerbatimChar"/>
        </w:rPr>
        <w:t xml:space="preserve">iherald/internal/bindings/bindings.go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Branding:</w:t>
      </w:r>
      <w:r>
        <w:t xml:space="preserve"> </w:t>
      </w:r>
      <w:r>
        <w:rPr>
          <w:rStyle w:val="VerbatimChar"/>
        </w:rPr>
        <w:t xml:space="preserve">commons/branding.go</w:t>
      </w:r>
      <w:r>
        <w:t xml:space="preserve"> </w:t>
      </w:r>
      <w:r>
        <w:t xml:space="preserve">(flavor</w:t>
      </w:r>
      <w:r>
        <w:t xml:space="preserve"> </w:t>
      </w:r>
      <w:r>
        <w:rPr>
          <w:rStyle w:val="VerbatimChar"/>
        </w:rPr>
        <w:t xml:space="preserve">i</w:t>
      </w:r>
      <w:r>
        <w:t xml:space="preserve">, DefaultPort=24794).</w:t>
      </w:r>
    </w:p>
    <w:p>
      <w:pPr>
        <w:pStyle w:val="Compact"/>
        <w:numPr>
          <w:ilvl w:val="0"/>
          <w:numId w:val="1002"/>
        </w:numPr>
      </w:pPr>
      <w:r>
        <w:t xml:space="preserve">Integration: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§1/§10 (iherald row —</w:t>
      </w:r>
      <w:r>
        <w:t xml:space="preserve"> </w:t>
      </w:r>
      <w:r>
        <w:rPr>
          <w:rStyle w:val="VerbatimChar"/>
        </w:rPr>
        <w:t xml:space="preserve">POST /v1/webhooks/page</w:t>
      </w:r>
      <w:r>
        <w:t xml:space="preserve"> </w:t>
      </w:r>
      <w:r>
        <w:t xml:space="preserve">LIVE escalation handler, HRD-024).</w:t>
      </w:r>
    </w:p>
    <w:p>
      <w:pPr>
        <w:pStyle w:val="Compact"/>
        <w:numPr>
          <w:ilvl w:val="0"/>
          <w:numId w:val="1002"/>
        </w:numPr>
      </w:pPr>
      <w:r>
        <w:t xml:space="preserve">Open work: HRD-024 (the live paging handler + §43 escalation command bodies).</w:t>
      </w:r>
    </w:p>
    <w:p>
      <w:pPr>
        <w:pStyle w:val="Compact"/>
        <w:numPr>
          <w:ilvl w:val="0"/>
          <w:numId w:val="1002"/>
        </w:numPr>
      </w:pPr>
      <w:r>
        <w:t xml:space="preserve">Companion flavor guides:</w:t>
      </w:r>
      <w:r>
        <w:t xml:space="preserve"> </w:t>
      </w:r>
      <w:r>
        <w:rPr>
          <w:rStyle w:val="VerbatimChar"/>
        </w:rPr>
        <w:t xml:space="preserve">docs/guides/{PHERALD,SHERALD,CHERALD,BHERALD,RHERALD,SCHERALD,QAHERALD}.md</w:t>
      </w:r>
      <w:r>
        <w:t xml:space="preserve">.</w:t>
      </w:r>
    </w:p>
    <w:bookmarkEnd w:id="14"/>
    <w:bookmarkStart w:id="15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rPr>
          <w:b/>
          <w:bCs/>
        </w:rPr>
        <w:t xml:space="preserve">Verified 2026-05-30:</w:t>
      </w:r>
      <w:r>
        <w:t xml:space="preserve"> </w:t>
      </w:r>
      <w:r>
        <w:t xml:space="preserve">internal doc — no external online sources. The subcommand surface +</w:t>
      </w:r>
      <w:r>
        <w:t xml:space="preserve"> </w:t>
      </w:r>
      <w:r>
        <w:rPr>
          <w:rStyle w:val="VerbatimChar"/>
        </w:rPr>
        <w:t xml:space="preserve">version --json</w:t>
      </w:r>
      <w:r>
        <w:t xml:space="preserve"> </w:t>
      </w:r>
      <w:r>
        <w:t xml:space="preserve">were derived by running the built</w:t>
      </w:r>
      <w:r>
        <w:t xml:space="preserve"> </w:t>
      </w:r>
      <w:r>
        <w:rPr>
          <w:rStyle w:val="VerbatimChar"/>
        </w:rPr>
        <w:t xml:space="preserve">iherald</w:t>
      </w:r>
      <w:r>
        <w:t xml:space="preserve"> </w:t>
      </w:r>
      <w:r>
        <w:t xml:space="preserve">binary (</w:t>
      </w:r>
      <w:r>
        <w:rPr>
          <w:rStyle w:val="VerbatimChar"/>
        </w:rPr>
        <w:t xml:space="preserve">iherald --help</w:t>
      </w:r>
      <w:r>
        <w:t xml:space="preserve">,</w:t>
      </w:r>
      <w:r>
        <w:t xml:space="preserve"> </w:t>
      </w:r>
      <w:r>
        <w:rPr>
          <w:rStyle w:val="VerbatimChar"/>
        </w:rPr>
        <w:t xml:space="preserve">iherald version --json</w:t>
      </w:r>
      <w:r>
        <w:t xml:space="preserve">) on 2026-05-30; the 501-stub status of</w:t>
      </w:r>
      <w:r>
        <w:t xml:space="preserve"> </w:t>
      </w:r>
      <w:r>
        <w:rPr>
          <w:rStyle w:val="VerbatimChar"/>
        </w:rPr>
        <w:t xml:space="preserve">POST /v1/webhooks/page</w:t>
      </w:r>
      <w:r>
        <w:t xml:space="preserve"> </w:t>
      </w:r>
      <w:r>
        <w:t xml:space="preserve">was confirmed by reading</w:t>
      </w:r>
      <w:r>
        <w:t xml:space="preserve"> </w:t>
      </w:r>
      <w:r>
        <w:rPr>
          <w:rStyle w:val="VerbatimChar"/>
        </w:rPr>
        <w:t xml:space="preserve">iherald/internal/http/routes.go</w:t>
      </w:r>
      <w:r>
        <w:t xml:space="preserve"> </w:t>
      </w:r>
      <w:r>
        <w:t xml:space="preserve">(route registered with</w:t>
      </w:r>
      <w:r>
        <w:t xml:space="preserve"> </w:t>
      </w:r>
      <w:r>
        <w:rPr>
          <w:rStyle w:val="VerbatimChar"/>
        </w:rPr>
        <w:t xml:space="preserve">HRD: "HRD-024"</w:t>
      </w:r>
      <w:r>
        <w:t xml:space="preserve">) and the package comments in</w:t>
      </w:r>
      <w:r>
        <w:t xml:space="preserve"> </w:t>
      </w:r>
      <w:r>
        <w:rPr>
          <w:rStyle w:val="VerbatimChar"/>
        </w:rPr>
        <w:t xml:space="preserve">iherald/cmd/iherald/main.go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iherald/internal/bindings/bindings.go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commons/branding.go</w:t>
      </w:r>
      <w:r>
        <w:t xml:space="preserve"> </w:t>
      </w:r>
      <w:r>
        <w:t xml:space="preserve">for the flavor identity. No routes or flags were invented; the not-yet-implemented status is stated honestly. Re-verify when HRD-024 lands the live paging handler.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2026-05-30T15:40:24Z</dcterms:created>
  <dcterms:modified xsi:type="dcterms:W3CDTF">2026-05-30T15:40:24Z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