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p>
      <w:pPr>
        <w:pStyle w:val="FirstParagraph"/>
      </w:pPr>
      <w:r>
        <w:drawing>
          <wp:inline>
            <wp:extent cx="1625600" cy="1625600"/>
            <wp:effectExtent b="0" l="0" r="0" t="0"/>
            <wp:docPr descr="Herald" title="" id="10" name="Picture"/>
            <a:graphic>
              <a:graphicData uri="http://schemas.openxmlformats.org/drawingml/2006/picture">
                <pic:pic>
                  <pic:nvPicPr>
                    <pic:cNvPr descr="../../../assets/logo/herald_logo_square_128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5600" cy="1625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{width=96px height=96px}</w:t>
      </w:r>
    </w:p>
    <w:bookmarkStart w:id="16" w:name="herald--cursor-dispatcher-setup-guide"/>
    <w:p>
      <w:pPr>
        <w:pStyle w:val="Heading1"/>
      </w:pPr>
      <w:r>
        <w:t xml:space="preserve">Herald — Cursor Dispatcher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PLANNED</w:t>
            </w:r>
            <w:r>
              <w:t xml:space="preserve"> </w:t>
            </w:r>
            <w:r>
              <w:t xml:space="preserve">— HRD-NNN (planned)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V3 §33 (pluggable Dispatcher)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 (reserved)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HERALD_CURSOR_BIN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HERALD_CURSOR_PROJECT_NAME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(not yet implemented)</w:t>
            </w:r>
          </w:p>
        </w:tc>
      </w:tr>
    </w:tbl>
    <w:p>
      <w:pPr>
        <w:pStyle w:val="BodyText"/>
      </w:pPr>
      <w:r>
        <w:t xml:space="preserve">Cursor is the AI-first IDE. Its CLI surface is evolving; integration will follow when Cursor exposes a stable headless API or CLI.</w:t>
      </w:r>
    </w:p>
    <w:p>
      <w:pPr>
        <w:pStyle w:val="BodyText"/>
      </w:pPr>
      <w:r>
        <w:t xml:space="preserve">This guide is a</w:t>
      </w:r>
      <w:r>
        <w:t xml:space="preserve"> </w:t>
      </w:r>
      <w:r>
        <w:rPr>
          <w:b/>
          <w:bCs/>
        </w:rPr>
        <w:t xml:space="preserve">placeholder</w:t>
      </w:r>
      <w:r>
        <w:t xml:space="preserve">. When the Cursor dispatcher lands as an HRD, this file will expand to the same step-by-step structure as</w:t>
      </w:r>
      <w:r>
        <w:t xml:space="preserve"> </w:t>
      </w:r>
      <w:hyperlink r:id="rId12">
        <w:r>
          <w:rPr>
            <w:rStyle w:val="VerbatimChar"/>
          </w:rPr>
          <w:t xml:space="preserve">CLAUDE_CODE.md</w:t>
        </w:r>
      </w:hyperlink>
      <w:r>
        <w:t xml:space="preserve">: install the CLI/SDK → set env vars → verify session resolution → verify Dispatch round-trip → troubleshooting.</w:t>
      </w:r>
    </w:p>
    <w:bookmarkStart w:id="14" w:name="what-you-can-do-now"/>
    <w:p>
      <w:pPr>
        <w:pStyle w:val="Heading2"/>
      </w:pPr>
      <w:r>
        <w:t xml:space="preserve">What you can do now</w:t>
      </w:r>
    </w:p>
    <w:p>
      <w:pPr>
        <w:pStyle w:val="Compact"/>
        <w:numPr>
          <w:ilvl w:val="0"/>
          <w:numId w:val="1001"/>
        </w:numPr>
      </w:pPr>
      <w:r>
        <w:t xml:space="preserve">Reserve the env-var names in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per</w:t>
      </w:r>
      <w:r>
        <w:t xml:space="preserve"> </w:t>
      </w:r>
      <w:hyperlink r:id="rId13">
        <w:r>
          <w:rPr>
            <w:rStyle w:val="VerbatimChar"/>
          </w:rPr>
          <w:t xml:space="preserve">../OPERATOR_CREDENTIALS.md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Dispatcher</w:t>
      </w:r>
      <w:r>
        <w:t xml:space="preserve"> </w:t>
      </w:r>
      <w:r>
        <w:t xml:space="preserve">interface in</w:t>
      </w:r>
      <w:r>
        <w:t xml:space="preserve"> </w:t>
      </w:r>
      <w:r>
        <w:rPr>
          <w:rStyle w:val="VerbatimChar"/>
        </w:rPr>
        <w:t xml:space="preserve">commons_messaging/dispatch/</w:t>
      </w:r>
      <w:r>
        <w:t xml:space="preserve"> </w:t>
      </w:r>
      <w:r>
        <w:t xml:space="preserve">is the seam every new dispatcher implements — see the Claude Code implementation as the reference shape.</w:t>
      </w:r>
    </w:p>
    <w:bookmarkEnd w:id="14"/>
    <w:bookmarkStart w:id="15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VerbatimChar"/>
          </w:rPr>
          <w:t xml:space="preserve">OPERATOR_CREDENTIALS.md</w:t>
        </w:r>
      </w:hyperlink>
      <w:r>
        <w:t xml:space="preserve"> </w:t>
      </w:r>
      <w:r>
        <w:t xml:space="preserve">§"Alternate LLM dispatchers"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VerbatimChar"/>
          </w:rPr>
          <w:t xml:space="preserve">CLAUDE_CODE.md</w:t>
        </w:r>
      </w:hyperlink>
      <w:r>
        <w:t xml:space="preserve"> </w:t>
      </w:r>
      <w:r>
        <w:t xml:space="preserve">— canonical live-dispatcher guide shape</w:t>
      </w:r>
    </w:p>
    <w:p>
      <w:pPr>
        <w:pStyle w:val="Compact"/>
        <w:numPr>
          <w:ilvl w:val="0"/>
          <w:numId w:val="1002"/>
        </w:numPr>
      </w:pPr>
      <w:r>
        <w:t xml:space="preserve">Spec: V3 §33 (pluggable Dispatcher)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OPERATOR_CREDENTIALS.md" TargetMode="External" /><Relationship Type="http://schemas.openxmlformats.org/officeDocument/2006/relationships/hyperlink" Id="rId12" Target="CLAUDE_CO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OPERATOR_CREDENTIALS.md" TargetMode="External" /><Relationship Type="http://schemas.openxmlformats.org/officeDocument/2006/relationships/hyperlink" Id="rId12" Target="CLAUDE_CO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2026-05-21T12:22:57Z</dcterms:created>
  <dcterms:modified xsi:type="dcterms:W3CDTF">2026-05-21T12:22:57Z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