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§11.2 + §11.9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HERALD_SLACK_SIGNING_SECRET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HERALD_SLACK_DEFAULT_CHANNEL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Slack is planned for V2. The adapter will support both Events API (HTTPS webhooks) and Socket Mode (WebSocket — useful for hosts without inbound HTTPS). Channels are addressed by ID (not name) since Slack channels are renamable while IDs are stable.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Slack adapter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Slack channel, open an issue against the HRD asking for priority — operator-driven escalation is honored per the constitution.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Slack lands)</w:t>
      </w:r>
    </w:p>
    <w:p>
      <w:pPr>
        <w:pStyle w:val="Compact"/>
        <w:numPr>
          <w:ilvl w:val="0"/>
          <w:numId w:val="1002"/>
        </w:numPr>
      </w:pPr>
      <w:r>
        <w:t xml:space="preserve">Spec: V3 §11.2 + §11.9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2026-05-21T12:23:00Z</dcterms:created>
  <dcterms:modified xsi:type="dcterms:W3CDTF">2026-05-21T12:23:00Z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