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../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6" w:name="herald--whatsapp-channel-setup-guide"/>
    <w:p>
      <w:pPr>
        <w:pStyle w:val="Heading1"/>
      </w:pPr>
      <w:r>
        <w:t xml:space="preserve">Herald — WhatsApp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HERALD_WHATSAPP_BUSINESS_TOKEN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HERALD_WHATSAPP_PHONE_NUMBER_ID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HERALD_WHATSAPP_VERIFY_TOKEN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WhatsApp Business API is reserved for a later iteration. Requires WhatsApp Business Account approval and a verified phone number; setup is significantly more involved than other messengers.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WhatsApp adapter lands as an HRD, this file will expand to the same step-by-step structure as</w:t>
      </w:r>
      <w:r>
        <w:t xml:space="preserve"> </w:t>
      </w:r>
      <w:hyperlink r:id="rId12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4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3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WhatsApp channel, open an issue against the HRD asking for priority — operator-driven escalation is honored per the constitution.</w:t>
      </w:r>
    </w:p>
    <w:bookmarkEnd w:id="14"/>
    <w:bookmarkStart w:id="1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WhatsApp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2026-05-21T12:23:03Z</dcterms:created>
  <dcterms:modified xsi:type="dcterms:W3CDTF">2026-05-21T12:23:03Z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