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Continuation</w:t>
      </w:r>
    </w:p>
    <w:bookmarkStart w:id="16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Spec V3 r5 + Constitution-flavor binding catalogue (§42) landed. HRD-018..HRD-028 opened to implement the 65 rule→flavor bindings across the 9 flavors. First-implementation cycle continues.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HRD-018..HRD-028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This file IS the continuation pointer. Update on every non-trivial commit (per Universal §12.10).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containers/quickstart/{docker-compose.quickstart.yml,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12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</w:tbl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HRD-018 Catalogue-Check survey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scaffold</w:t>
      </w:r>
      <w:r>
        <w:t xml:space="preserve"> </w:t>
      </w:r>
      <w:r>
        <w:t xml:space="preserve">— first action of the §42 implementation rollout.</w:t>
      </w:r>
      <w:r>
        <w:t xml:space="preserve"> </w:t>
      </w:r>
      <w:r>
        <w:rPr>
          <w:b/>
          <w:bCs/>
        </w:rPr>
        <w:t xml:space="preserve">MUST 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catalogue survey per the brand-new Universal §11.4.74.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HRD-018 before any Go code lands. Then scaffold the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 runtime config.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containers/quickstart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4"/>
    <w:bookmarkStart w:id="15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containers/quickstart/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Continuation</dc:title>
  <dc:creator/>
  <cp:keywords/>
  <dcterms:created xsi:type="dcterms:W3CDTF">2026-05-20T10:20:47Z</dcterms:created>
  <dcterms:modified xsi:type="dcterms:W3CDTF">2026-05-20T10:20:47Z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