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29" w:name="Xaa724810874b6af4665ff8a67af78475ed9af19"/>
    <w:p>
      <w:pPr>
        <w:pStyle w:val="Heading1"/>
      </w:pPr>
      <w:r>
        <w:t xml:space="preserve">Herald —</w:t>
      </w:r>
      <w:r>
        <w:t xml:space="preserve"> </w:t>
      </w:r>
      <w:r>
        <w:rPr>
          <w:rStyle w:val="VerbatimChar"/>
        </w:rPr>
        <w:t xml:space="preserve">commons_infra</w:t>
      </w:r>
      <w:r>
        <w:t xml:space="preserve"> </w:t>
      </w:r>
      <w:r>
        <w:t xml:space="preserve">Module Guide (Operator / Developer)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Nano-detail per-module reference for</w:t>
            </w:r>
            <w:r>
              <w:t xml:space="preserve"> </w:t>
            </w:r>
            <w:r>
              <w:rPr>
                <w:rStyle w:val="VerbatimChar"/>
              </w:rPr>
              <w:t xml:space="preserve">commons_infra</w:t>
            </w:r>
            <w:r>
              <w:t xml:space="preserve"> </w:t>
            </w:r>
            <w:r>
              <w:t xml:space="preserve">— Herald's on-demand container-infrastructure facade. Documents</w:t>
            </w:r>
            <w:r>
              <w:t xml:space="preserve"> </w:t>
            </w:r>
            <w:r>
              <w:rPr>
                <w:rStyle w:val="VerbatimChar"/>
              </w:rPr>
              <w:t xml:space="preserve">QuickstartBoot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/</w:t>
            </w:r>
            <w:r>
              <w:rPr>
                <w:rStyle w:val="VerbatimChar"/>
              </w:rPr>
              <w:t xml:space="preserve">Down</w:t>
            </w:r>
            <w:r>
              <w:t xml:space="preserve">/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lifecycle that boots Postgres + Redis + OTel via the</w:t>
            </w:r>
            <w:r>
              <w:t xml:space="preserve"> </w:t>
            </w:r>
            <w:r>
              <w:rPr>
                <w:rStyle w:val="VerbatimChar"/>
              </w:rPr>
              <w:t xml:space="preserve">digital.vasic.containers</w:t>
            </w:r>
            <w:r>
              <w:t xml:space="preserve"> </w:t>
            </w:r>
            <w:r>
              <w:t xml:space="preserve">submodule and opens the pgx pool + Redis client + task queue + dead-letter plane), the</w:t>
            </w:r>
            <w:r>
              <w:t xml:space="preserve"> </w:t>
            </w:r>
            <w:r>
              <w:rPr>
                <w:rStyle w:val="VerbatimChar"/>
              </w:rPr>
              <w:t xml:space="preserve">Pool</w:t>
            </w:r>
            <w:r>
              <w:t xml:space="preserve">/</w:t>
            </w:r>
            <w:r>
              <w:rPr>
                <w:rStyle w:val="VerbatimChar"/>
              </w:rPr>
              <w:t xml:space="preserve">Queue</w:t>
            </w:r>
            <w:r>
              <w:t xml:space="preserve">/</w:t>
            </w:r>
            <w:r>
              <w:rPr>
                <w:rStyle w:val="VerbatimChar"/>
              </w:rPr>
              <w:t xml:space="preserve">Redis</w:t>
            </w:r>
            <w:r>
              <w:t xml:space="preserve">/</w:t>
            </w:r>
            <w:r>
              <w:rPr>
                <w:rStyle w:val="VerbatimChar"/>
              </w:rPr>
              <w:t xml:space="preserve">DeadLetterSink</w:t>
            </w:r>
            <w:r>
              <w:t xml:space="preserve"> </w:t>
            </w:r>
            <w:r>
              <w:t xml:space="preserve">getters and the</w:t>
            </w:r>
            <w:r>
              <w:t xml:space="preserve"> </w:t>
            </w:r>
            <w:r>
              <w:rPr>
                <w:rStyle w:val="VerbatimChar"/>
              </w:rPr>
              <w:t xml:space="preserve">ErrNotBooted</w:t>
            </w:r>
            <w:r>
              <w:t xml:space="preserve"> </w:t>
            </w:r>
            <w:r>
              <w:t xml:space="preserve">anti-bluff contract, the 19-method</w:t>
            </w:r>
            <w:r>
              <w:t xml:space="preserve"> </w:t>
            </w:r>
            <w:r>
              <w:rPr>
                <w:rStyle w:val="VerbatimChar"/>
              </w:rPr>
              <w:t xml:space="preserve">pgxTaskRepository</w:t>
            </w:r>
            <w:r>
              <w:t xml:space="preserve"> </w:t>
            </w:r>
            <w:r>
              <w:t xml:space="preserve">backing the upstream</w:t>
            </w:r>
            <w:r>
              <w:t xml:space="preserve"> </w:t>
            </w:r>
            <w:r>
              <w:rPr>
                <w:rStyle w:val="VerbatimChar"/>
              </w:rPr>
              <w:t xml:space="preserve">PostgresTaskQueue</w:t>
            </w:r>
            <w:r>
              <w:t xml:space="preserve"> </w:t>
            </w:r>
            <w:r>
              <w:t xml:space="preserve">(migrations 000009/000013/000014), and the</w:t>
            </w:r>
            <w:r>
              <w:t xml:space="preserve"> </w:t>
            </w:r>
            <w:r>
              <w:rPr>
                <w:rStyle w:val="VerbatimChar"/>
              </w:rPr>
              <w:t xml:space="preserve">WithTenantContext</w:t>
            </w:r>
            <w:r>
              <w:t xml:space="preserve"> </w:t>
            </w:r>
            <w:r>
              <w:t xml:space="preserve">RLS bridge (which lives in</w:t>
            </w:r>
            <w:r>
              <w:t xml:space="preserve"> </w:t>
            </w:r>
            <w:r>
              <w:rPr>
                <w:rStyle w:val="VerbatimChar"/>
              </w:rPr>
              <w:t xml:space="preserve">commons_storage</w:t>
            </w:r>
            <w:r>
              <w:t xml:space="preserve"> </w:t>
            </w:r>
            <w:r>
              <w:t xml:space="preserve">but is fed the pool this module opens). ANTI-BLUFF: every value below — container names, host ports, env-var names, method list — is transcribed from the real source under</w:t>
            </w:r>
            <w:r>
              <w:t xml:space="preserve"> </w:t>
            </w:r>
            <w:r>
              <w:rPr>
                <w:rStyle w:val="VerbatimChar"/>
              </w:rPr>
              <w:t xml:space="preserve">commons_infra/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quickstart/docker-compose.quickstart.yml</w:t>
            </w:r>
            <w:r>
              <w:t xml:space="preserve">, NOT from prior prose.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(none specific to this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bump when (a) HRD-081 lands the</w:t>
            </w:r>
            <w:r>
              <w:t xml:space="preserve"> </w:t>
            </w:r>
            <w:r>
              <w:rPr>
                <w:rStyle w:val="VerbatimChar"/>
              </w:rPr>
              <w:t xml:space="preserve">compose --wait</w:t>
            </w:r>
            <w:r>
              <w:t xml:space="preserve"> </w:t>
            </w:r>
            <w:r>
              <w:t xml:space="preserve">runtime split so the post-</w:t>
            </w:r>
            <w:r>
              <w:rPr>
                <w:rStyle w:val="VerbatimChar"/>
              </w:rPr>
              <w:t xml:space="preserve">Up</w:t>
            </w:r>
            <w:r>
              <w:t xml:space="preserve"> </w:t>
            </w:r>
            <w:r>
              <w:t xml:space="preserve">readiness poll can be removed, (b) the</w:t>
            </w:r>
            <w:r>
              <w:t xml:space="preserve"> </w:t>
            </w:r>
            <w:r>
              <w:rPr>
                <w:rStyle w:val="VerbatimChar"/>
              </w:rPr>
              <w:t xml:space="preserve">pherald doctor</w:t>
            </w:r>
            <w:r>
              <w:t xml:space="preserve"> </w:t>
            </w:r>
            <w:r>
              <w:t xml:space="preserve">subcommand is implemented as a real consumer (today only Foundation tests call</w:t>
            </w:r>
            <w:r>
              <w:t xml:space="preserve"> </w:t>
            </w:r>
            <w:r>
              <w:rPr>
                <w:rStyle w:val="VerbatimChar"/>
              </w:rPr>
              <w:t xml:space="preserve">NewQuickstartBoot</w:t>
            </w:r>
            <w:r>
              <w:t xml:space="preserve">), and (c) the M2 Postgres-backed</w:t>
            </w:r>
            <w:r>
              <w:t xml:space="preserve"> </w:t>
            </w:r>
            <w:r>
              <w:rPr>
                <w:rStyle w:val="VerbatimChar"/>
              </w:rPr>
              <w:t xml:space="preserve">DeadLetterSink</w:t>
            </w:r>
            <w:r>
              <w:t xml:space="preserve"> </w:t>
            </w:r>
            <w:r>
              <w:t xml:space="preserve">replaces the in-process</w:t>
            </w:r>
            <w:r>
              <w:t xml:space="preserve"> </w:t>
            </w:r>
            <w:r>
              <w:rPr>
                <w:rStyle w:val="VerbatimChar"/>
              </w:rPr>
              <w:t xml:space="preserve">MemoryDeadLetterSink</w:t>
            </w:r>
            <w:r>
              <w:t xml:space="preserve">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§1. Overview</w:t>
        </w:r>
      </w:hyperlink>
    </w:p>
    <w:p>
      <w:pPr>
        <w:pStyle w:val="Compact"/>
        <w:numPr>
          <w:ilvl w:val="0"/>
          <w:numId w:val="1001"/>
        </w:numPr>
      </w:pPr>
      <w:hyperlink w:anchor="X5d3c3efa4980162616c44f05f3811bc30d1f977">
        <w:r>
          <w:rPr>
            <w:rStyle w:val="Hyperlink"/>
          </w:rPr>
          <w:t xml:space="preserve">§2.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QuickstartBoot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construction and lifecycle</w:t>
        </w:r>
      </w:hyperlink>
    </w:p>
    <w:p>
      <w:pPr>
        <w:pStyle w:val="Compact"/>
        <w:numPr>
          <w:ilvl w:val="0"/>
          <w:numId w:val="1001"/>
        </w:numPr>
      </w:pPr>
      <w:hyperlink w:anchor="X32d62f0ae675d30a159e21d8cca41c64e63e1bf">
        <w:r>
          <w:rPr>
            <w:rStyle w:val="Hyperlink"/>
          </w:rPr>
          <w:t xml:space="preserve">§3. What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Up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actually boots (the container stack — operator section)</w:t>
        </w:r>
      </w:hyperlink>
    </w:p>
    <w:p>
      <w:pPr>
        <w:pStyle w:val="Compact"/>
        <w:numPr>
          <w:ilvl w:val="0"/>
          <w:numId w:val="1001"/>
        </w:numPr>
      </w:pPr>
      <w:hyperlink w:anchor="X04d25953763edf6e8c6c3a8ba9a16859d694a26">
        <w:r>
          <w:rPr>
            <w:rStyle w:val="Hyperlink"/>
          </w:rPr>
          <w:t xml:space="preserve">§4. The client getters and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ErrNotBooted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anti-bluff contract</w:t>
        </w:r>
      </w:hyperlink>
    </w:p>
    <w:p>
      <w:pPr>
        <w:pStyle w:val="Compact"/>
        <w:numPr>
          <w:ilvl w:val="0"/>
          <w:numId w:val="1001"/>
        </w:numPr>
      </w:pPr>
      <w:hyperlink w:anchor="Xde011030b42aa3b7caa9ad065b60b6285ed51ec">
        <w:r>
          <w:rPr>
            <w:rStyle w:val="Hyperlink"/>
          </w:rPr>
          <w:t xml:space="preserve">§5.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pgxTaskRepository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(19 methods) + the queue seam</w:t>
        </w:r>
      </w:hyperlink>
    </w:p>
    <w:p>
      <w:pPr>
        <w:pStyle w:val="Compact"/>
        <w:numPr>
          <w:ilvl w:val="0"/>
          <w:numId w:val="1001"/>
        </w:numPr>
      </w:pPr>
      <w:hyperlink w:anchor="Xc925f6104e3064aa96eae96d218f75107b08bd5">
        <w:r>
          <w:rPr>
            <w:rStyle w:val="Hyperlink"/>
          </w:rPr>
          <w:t xml:space="preserve">§6. The governance dead-letter plane</w:t>
        </w:r>
      </w:hyperlink>
    </w:p>
    <w:p>
      <w:pPr>
        <w:pStyle w:val="Compact"/>
        <w:numPr>
          <w:ilvl w:val="0"/>
          <w:numId w:val="1001"/>
        </w:numPr>
      </w:pPr>
      <w:hyperlink w:anchor="X23fed5086bf3b4f1a2b13158efb18543e96d101">
        <w:r>
          <w:rPr>
            <w:rStyle w:val="Hyperlink"/>
          </w:rPr>
          <w:t xml:space="preserve">§7.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WithTenantContext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the RLS bridge</w:t>
        </w:r>
      </w:hyperlink>
    </w:p>
    <w:p>
      <w:pPr>
        <w:pStyle w:val="Compact"/>
        <w:numPr>
          <w:ilvl w:val="0"/>
          <w:numId w:val="1001"/>
        </w:numPr>
      </w:pPr>
      <w:hyperlink w:anchor="X0f1206cdedb8337bfe602bb5ccfcb361f7696bf">
        <w:r>
          <w:rPr>
            <w:rStyle w:val="Hyperlink"/>
          </w:rPr>
          <w:t xml:space="preserve">§8. How Foundation tests and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pherald doctor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consume it</w:t>
        </w:r>
      </w:hyperlink>
    </w:p>
    <w:p>
      <w:pPr>
        <w:pStyle w:val="Compact"/>
        <w:numPr>
          <w:ilvl w:val="0"/>
          <w:numId w:val="1001"/>
        </w:numPr>
      </w:pPr>
      <w:hyperlink w:anchor="X504d0b6f0108f25b6278bf4993b13f44faf53db">
        <w:r>
          <w:rPr>
            <w:rStyle w:val="Hyperlink"/>
          </w:rPr>
          <w:t xml:space="preserve">§9. Usage examples</w:t>
        </w:r>
      </w:hyperlink>
    </w:p>
    <w:p>
      <w:pPr>
        <w:pStyle w:val="Compact"/>
        <w:numPr>
          <w:ilvl w:val="0"/>
          <w:numId w:val="1001"/>
        </w:numPr>
      </w:pPr>
      <w:hyperlink w:anchor="X3b4c3db7819ed66f453f0c9b146c43e80460b49">
        <w:r>
          <w:rPr>
            <w:rStyle w:val="Hyperlink"/>
          </w:rPr>
          <w:t xml:space="preserve">§10. 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c8951b796c7b61cbdd4998c72efbdeed0056e13"/>
    <w:p>
      <w:pPr>
        <w:pStyle w:val="Heading2"/>
      </w:pPr>
      <w:r>
        <w:t xml:space="preserve">§1. Overview</w:t>
      </w:r>
    </w:p>
    <w:p>
      <w:pPr>
        <w:pStyle w:val="FirstParagraph"/>
      </w:pPr>
      <w:r>
        <w:rPr>
          <w:rStyle w:val="VerbatimChar"/>
        </w:rPr>
        <w:t xml:space="preserve">commons_infra</w:t>
      </w:r>
      <w:r>
        <w:t xml:space="preserve"> </w:t>
      </w:r>
      <w:r>
        <w:t xml:space="preserve">(Go package</w:t>
      </w:r>
      <w:r>
        <w:t xml:space="preserve"> </w:t>
      </w:r>
      <w:r>
        <w:rPr>
          <w:rStyle w:val="VerbatimChar"/>
        </w:rPr>
        <w:t xml:space="preserve">infra</w:t>
      </w:r>
      <w:r>
        <w:t xml:space="preserve">, module path</w:t>
      </w:r>
      <w:r>
        <w:t xml:space="preserve"> </w:t>
      </w:r>
      <w:r>
        <w:rPr>
          <w:rStyle w:val="VerbatimChar"/>
        </w:rPr>
        <w:t xml:space="preserve">github.com/vasic-digital/herald/commons_infra</w:t>
      </w:r>
      <w:r>
        <w:t xml:space="preserve">) is Herald's</w:t>
      </w:r>
      <w:r>
        <w:t xml:space="preserve"> </w:t>
      </w:r>
      <w:r>
        <w:rPr>
          <w:b/>
          <w:bCs/>
        </w:rPr>
        <w:t xml:space="preserve">on-demand container-infrastructure layer</w:t>
      </w:r>
      <w:r>
        <w:t xml:space="preserve">. It is the thin Herald-side facade that brings Postgres + Redis + OTel up on-demand for tests and tooling, opens the live client handles against them, and tears it all down — so a test entry point never assumes the operator pre-started podman/docker by hand.</w:t>
      </w:r>
    </w:p>
    <w:p>
      <w:pPr>
        <w:pStyle w:val="BodyText"/>
      </w:pPr>
      <w:r>
        <w:t xml:space="preserve">Per the package doc at the top of</w:t>
      </w:r>
      <w:r>
        <w:t xml:space="preserve"> </w:t>
      </w:r>
      <w:r>
        <w:rPr>
          <w:rStyle w:val="VerbatimChar"/>
        </w:rPr>
        <w:t xml:space="preserve">boot.go</w:t>
      </w:r>
      <w:r>
        <w:t xml:space="preserve">, the module exists to satisfy</w:t>
      </w:r>
      <w:r>
        <w:t xml:space="preserve"> </w:t>
      </w:r>
      <w:r>
        <w:rPr>
          <w:b/>
          <w:bCs/>
        </w:rPr>
        <w:t xml:space="preserve">Universal Constitution §11.4.76</w:t>
      </w:r>
      <w:r>
        <w:t xml:space="preserve"> </w:t>
      </w:r>
      <w:r>
        <w:t xml:space="preserve">(the containers-submodule mandate) and</w:t>
      </w:r>
      <w:r>
        <w:t xml:space="preserve"> </w:t>
      </w:r>
      <w:r>
        <w:rPr>
          <w:b/>
          <w:bCs/>
        </w:rPr>
        <w:t xml:space="preserve">Herald V3 spec §44</w:t>
      </w:r>
      <w:r>
        <w:t xml:space="preserve">: Foundation tests + the</w:t>
      </w:r>
      <w:r>
        <w:t xml:space="preserve"> </w:t>
      </w:r>
      <w:r>
        <w:rPr>
          <w:rStyle w:val="VerbatimChar"/>
        </w:rPr>
        <w:t xml:space="preserve">pherald doctor</w:t>
      </w:r>
      <w:r>
        <w:t xml:space="preserve"> </w:t>
      </w:r>
      <w:r>
        <w:t xml:space="preserve">subcommand MUST boot infrastructure via the canonical</w:t>
      </w:r>
      <w:r>
        <w:t xml:space="preserve"> </w:t>
      </w:r>
      <w:r>
        <w:rPr>
          <w:rStyle w:val="VerbatimChar"/>
        </w:rPr>
        <w:t xml:space="preserve">digital.vasic.containers</w:t>
      </w:r>
      <w:r>
        <w:t xml:space="preserve"> </w:t>
      </w:r>
      <w:r>
        <w:t xml:space="preserve">submodule's</w:t>
      </w:r>
      <w:r>
        <w:t xml:space="preserve"> </w:t>
      </w:r>
      <w:r>
        <w:rPr>
          <w:rStyle w:val="VerbatimChar"/>
        </w:rPr>
        <w:t xml:space="preserve">pkg/compose</w:t>
      </w:r>
      <w:r>
        <w:t xml:space="preserve"> </w:t>
      </w:r>
      <w:r>
        <w:t xml:space="preserve">orchestrator —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via ad-hoc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shellouts.</w:t>
      </w:r>
      <w:r>
        <w:t xml:space="preserve"> </w:t>
      </w:r>
      <w:r>
        <w:rPr>
          <w:rStyle w:val="VerbatimChar"/>
        </w:rPr>
        <w:t xml:space="preserve">commons_infra</w:t>
      </w:r>
      <w:r>
        <w:t xml:space="preserve"> </w:t>
      </w:r>
      <w:r>
        <w:t xml:space="preserve">wraps that orchestrator with Herald-flavor defaults (project name, compose-file path, readiness polling) and adds the client-opening + dead-letter wiring on top.</w:t>
      </w:r>
    </w:p>
    <w:p>
      <w:pPr>
        <w:pStyle w:val="BodyText"/>
      </w:pPr>
      <w:r>
        <w:t xml:space="preserve">The module is anti-bluff by construction (§107 / §11.4.5): calling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is not enough — the getters return</w:t>
      </w:r>
      <w:r>
        <w:t xml:space="preserve"> </w:t>
      </w:r>
      <w:r>
        <w:rPr>
          <w:rStyle w:val="VerbatimChar"/>
        </w:rPr>
        <w:t xml:space="preserve">ErrNotBooted</w:t>
      </w:r>
      <w:r>
        <w:t xml:space="preserve"> </w:t>
      </w:r>
      <w:r>
        <w:t xml:space="preserve">until a client is actually populated, and the package doc explicitly states that a test which calls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but never verifies the services are reachable is</w:t>
      </w:r>
      <w:r>
        <w:t xml:space="preserve"> </w:t>
      </w:r>
      <w:r>
        <w:rPr>
          <w:b/>
          <w:bCs/>
        </w:rPr>
        <w:t xml:space="preserve">still a bluff</w:t>
      </w:r>
      <w:r>
        <w:t xml:space="preserve">.</w:t>
      </w:r>
    </w:p>
    <w:bookmarkEnd w:id="10"/>
    <w:bookmarkStart w:id="15" w:name="X5d3c3efa4980162616c44f05f3811bc30d1f977"/>
    <w:p>
      <w:pPr>
        <w:pStyle w:val="Heading2"/>
      </w:pPr>
      <w:r>
        <w:t xml:space="preserve">§2.</w:t>
      </w:r>
      <w:r>
        <w:t xml:space="preserve"> </w:t>
      </w:r>
      <w:r>
        <w:rPr>
          <w:rStyle w:val="VerbatimChar"/>
        </w:rPr>
        <w:t xml:space="preserve">QuickstartBoot</w:t>
      </w:r>
      <w:r>
        <w:t xml:space="preserve"> </w:t>
      </w:r>
      <w:r>
        <w:t xml:space="preserve">— construction and lifecycle</w:t>
      </w:r>
    </w:p>
    <w:p>
      <w:pPr>
        <w:pStyle w:val="FirstParagraph"/>
      </w:pPr>
      <w:r>
        <w:rPr>
          <w:rStyle w:val="VerbatimChar"/>
        </w:rPr>
        <w:t xml:space="preserve">QuickstartBoot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boot.go</w:t>
      </w:r>
      <w:r>
        <w:t xml:space="preserve">) wraps a</w:t>
      </w:r>
      <w:r>
        <w:t xml:space="preserve"> </w:t>
      </w:r>
      <w:r>
        <w:rPr>
          <w:rStyle w:val="VerbatimChar"/>
        </w:rPr>
        <w:t xml:space="preserve">compose.ComposeOrchestrator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compose.ComposeProject</w:t>
      </w:r>
      <w:r>
        <w:t xml:space="preserve"> </w:t>
      </w:r>
      <w:r>
        <w:t xml:space="preserve">with Herald defaults and holds the opened clients.</w:t>
      </w:r>
    </w:p>
    <w:bookmarkStart w:id="11" w:name="X34b8d0299864cab023681e5a91a3c12af27b5c5"/>
    <w:p>
      <w:pPr>
        <w:pStyle w:val="Heading3"/>
      </w:pPr>
      <w:r>
        <w:t xml:space="preserve">§2.1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NewQuickstartBoot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ComposeFile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empty → auto-resolve &lt;repo-root&gt;/quickstart/docker-compose.quickstart.yml</w:t>
      </w:r>
      <w:r>
        <w:br/>
      </w:r>
      <w:r>
        <w:rPr>
          <w:rStyle w:val="NormalTok"/>
        </w:rPr>
        <w:t xml:space="preserve">    ProjectName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empty → DefaultProjectName ("herald-quickstart")</w:t>
      </w:r>
      <w:r>
        <w:br/>
      </w:r>
      <w:r>
        <w:rPr>
          <w:rStyle w:val="NormalTok"/>
        </w:rPr>
        <w:t xml:space="preserve">    Services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empty → all services; otherwise a subset to boot + open clients for</w:t>
      </w:r>
      <w:r>
        <w:br/>
      </w:r>
      <w:r>
        <w:rPr>
          <w:rStyle w:val="NormalTok"/>
        </w:rPr>
        <w:t xml:space="preserve">    Logger      logging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  </w:t>
      </w:r>
      <w:r>
        <w:rPr>
          <w:rStyle w:val="CommentTok"/>
        </w:rPr>
        <w:t xml:space="preserve">// nil → NopLogger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NewQuickstartBoot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 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QuickstartBoot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const DefaultProjectName = "herald-quickstart"</w:t>
      </w:r>
      <w:r>
        <w:t xml:space="preserve"> </w:t>
      </w:r>
      <w:r>
        <w:t xml:space="preserve">— matches the project name the §26.5 compose file declares.</w:t>
      </w:r>
    </w:p>
    <w:p>
      <w:pPr>
        <w:pStyle w:val="BodyText"/>
      </w:pPr>
      <w:r>
        <w:rPr>
          <w:rStyle w:val="VerbatimChar"/>
        </w:rPr>
        <w:t xml:space="preserve">NewQuickstartBoot</w:t>
      </w:r>
      <w:r>
        <w:t xml:space="preserve"> </w:t>
      </w:r>
      <w:r>
        <w:t xml:space="preserve">resolves the compose file (via</w:t>
      </w:r>
      <w:r>
        <w:t xml:space="preserve"> </w:t>
      </w:r>
      <w:r>
        <w:rPr>
          <w:rStyle w:val="VerbatimChar"/>
        </w:rPr>
        <w:t xml:space="preserve">findQuickstartCompose</w:t>
      </w:r>
      <w:r>
        <w:t xml:space="preserve">, which walks</w:t>
      </w:r>
      <w:r>
        <w:t xml:space="preserve"> </w:t>
      </w:r>
      <w:r>
        <w:rPr>
          <w:b/>
          <w:bCs/>
        </w:rPr>
        <w:t xml:space="preserve">up to 16 parent directories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os.Getwd</w:t>
      </w:r>
      <w:r>
        <w:t xml:space="preserve"> </w:t>
      </w:r>
      <w:r>
        <w:t xml:space="preserve">looking for</w:t>
      </w:r>
      <w:r>
        <w:t xml:space="preserve"> </w:t>
      </w:r>
      <w:r>
        <w:rPr>
          <w:rStyle w:val="VerbatimChar"/>
        </w:rPr>
        <w:t xml:space="preserve">quickstart/docker-compose.quickstart.yml</w:t>
      </w:r>
      <w:r>
        <w:t xml:space="preserve">), defaults the project name, sets the orchestrator working directory to the compose file's directory (so relative build-context / env-file paths inside the compose resolve), and constructs a default auto-detected orchestrator via</w:t>
      </w:r>
      <w:r>
        <w:t xml:space="preserve"> </w:t>
      </w:r>
      <w:r>
        <w:rPr>
          <w:rStyle w:val="VerbatimChar"/>
        </w:rPr>
        <w:t xml:space="preserve">compose.NewDefaultOrchestrator</w:t>
      </w:r>
      <w:r>
        <w:t xml:space="preserve">. It returns an</w:t>
      </w:r>
      <w:r>
        <w:t xml:space="preserve"> </w:t>
      </w:r>
      <w:r>
        <w:rPr>
          <w:b/>
          <w:bCs/>
        </w:rPr>
        <w:t xml:space="preserve">error if no compose runtime (docker / podman / podman-compose) is available on the host</w:t>
      </w:r>
      <w:r>
        <w:t xml:space="preserve"> </w:t>
      </w:r>
      <w:r>
        <w:t xml:space="preserve">— the §11.4.76 invariant assumes one is installed, because the boot is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step of the test entry point, not "operator already ran podman manually".</w:t>
      </w:r>
    </w:p>
    <w:bookmarkEnd w:id="11"/>
    <w:bookmarkStart w:id="12" w:name="X56b3a43ffe31025f4dd2d1890afd93f94b63b53"/>
    <w:p>
      <w:pPr>
        <w:pStyle w:val="Heading3"/>
      </w:pPr>
      <w:r>
        <w:t xml:space="preserve">§2.2</w:t>
      </w:r>
      <w:r>
        <w:t xml:space="preserve"> </w:t>
      </w:r>
      <w:r>
        <w:rPr>
          <w:rStyle w:val="VerbatimChar"/>
        </w:rPr>
        <w:t xml:space="preserve">Up(ctx)</w:t>
      </w:r>
      <w:r>
        <w:t xml:space="preserve"> </w:t>
      </w:r>
      <w:r>
        <w:t xml:space="preserve">— bring up + open clients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QuickstartBoot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</w:p>
    <w:p>
      <w:pPr>
        <w:pStyle w:val="FirstParagraph"/>
      </w:pPr>
      <w:r>
        <w:rPr>
          <w:rStyle w:val="VerbatimChar"/>
        </w:rPr>
        <w:t xml:space="preserve">Up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orch.Up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WithUpDetach(true)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WithUpTimeout(120)</w:t>
      </w:r>
      <w:r>
        <w:t xml:space="preserve">, then opens clients for the requested services. Load-bearing behaviours, all transcribed from the source: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--wait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compose.WithWait(true)</w:t>
      </w:r>
      <w:r>
        <w:t xml:space="preserve"> </w:t>
      </w:r>
      <w:r>
        <w:t xml:space="preserve">is intentionally NOT passed, because</w:t>
      </w:r>
      <w:r>
        <w:t xml:space="preserve"> </w:t>
      </w:r>
      <w:r>
        <w:rPr>
          <w:rStyle w:val="VerbatimChar"/>
        </w:rPr>
        <w:t xml:space="preserve">podman-compose</w:t>
      </w:r>
      <w:r>
        <w:t xml:space="preserve"> </w:t>
      </w:r>
      <w:r>
        <w:t xml:space="preserve">(the canonical Herald-dev runtime) does not recognise the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flag (see HRD-081). Callers must therefore follow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with their own readiness check (</w:t>
      </w:r>
      <w:r>
        <w:rPr>
          <w:rStyle w:val="VerbatimChar"/>
        </w:rPr>
        <w:t xml:space="preserve">Status()</w:t>
      </w:r>
      <w:r>
        <w:t xml:space="preserve"> </w:t>
      </w:r>
      <w:r>
        <w:t xml:space="preserve">loop or a service-specific probe) before trusting the infra.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Idempotency guard.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b.pool != nil || b.redis != nil</w:t>
      </w:r>
      <w:r>
        <w:t xml:space="preserve">,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short-circuits — re-opening would leak pgx connections + goroutines and race the Redis healthcheck.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Selective opens.</w:t>
      </w:r>
      <w:r>
        <w:t xml:space="preserve"> </w:t>
      </w:r>
      <w:r>
        <w:rPr>
          <w:rStyle w:val="VerbatimChar"/>
        </w:rPr>
        <w:t xml:space="preserve">serviceRequested("postgres")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serviceRequested("redis")</w:t>
      </w:r>
      <w:r>
        <w:t xml:space="preserve"> </w:t>
      </w:r>
      <w:r>
        <w:t xml:space="preserve">gate which clients open; an empty</w:t>
      </w:r>
      <w:r>
        <w:t xml:space="preserve"> </w:t>
      </w:r>
      <w:r>
        <w:rPr>
          <w:rStyle w:val="VerbatimChar"/>
        </w:rPr>
        <w:t xml:space="preserve">Config.Services</w:t>
      </w:r>
      <w:r>
        <w:t xml:space="preserve"> </w:t>
      </w:r>
      <w:r>
        <w:t xml:space="preserve">is the "all services" sentinel (every name returns true).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Postgres open + readiness poll.</w:t>
      </w:r>
      <w:r>
        <w:t xml:space="preserve"> </w:t>
      </w:r>
      <w:r>
        <w:t xml:space="preserve">When Postgres is requested,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builds a config via</w:t>
      </w:r>
      <w:r>
        <w:t xml:space="preserve"> </w:t>
      </w:r>
      <w:r>
        <w:rPr>
          <w:rStyle w:val="VerbatimChar"/>
        </w:rPr>
        <w:t xml:space="preserve">storage.ConfigForHerald(...)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retries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storage.Open</w:t>
      </w:r>
      <w:r>
        <w:rPr>
          <w:b/>
          <w:bCs/>
        </w:rPr>
        <w:t xml:space="preserve"> </w:t>
      </w:r>
      <w:r>
        <w:rPr>
          <w:b/>
          <w:bCs/>
        </w:rPr>
        <w:t xml:space="preserve">for up to 30s</w:t>
      </w:r>
      <w:r>
        <w:t xml:space="preserve"> </w:t>
      </w:r>
      <w:r>
        <w:t xml:space="preserve">(500ms poll interval) —</w:t>
      </w:r>
      <w:r>
        <w:t xml:space="preserve"> </w:t>
      </w:r>
      <w:r>
        <w:rPr>
          <w:rStyle w:val="VerbatimChar"/>
        </w:rPr>
        <w:t xml:space="preserve">podman-compose</w:t>
      </w:r>
      <w:r>
        <w:t xml:space="preserve"> </w:t>
      </w:r>
      <w:r>
        <w:t xml:space="preserve">can report the container "Up" while Postgres is still mid-</w:t>
      </w:r>
      <w:r>
        <w:rPr>
          <w:rStyle w:val="VerbatimChar"/>
        </w:rPr>
        <w:t xml:space="preserve">pg_ctl start</w:t>
      </w:r>
      <w:r>
        <w:t xml:space="preserve"> </w:t>
      </w:r>
      <w:r>
        <w:t xml:space="preserve">(SQLSTATE 57P03). On success it runs</w:t>
      </w:r>
      <w:r>
        <w:t xml:space="preserve"> </w:t>
      </w:r>
      <w:r>
        <w:rPr>
          <w:rStyle w:val="VerbatimChar"/>
        </w:rPr>
        <w:t xml:space="preserve">storage.RunMigrations(ctx, pool)</w:t>
      </w:r>
      <w:r>
        <w:t xml:space="preserve"> </w:t>
      </w:r>
      <w:r>
        <w:t xml:space="preserve">so the schema is live before any test touches the pool.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Queue bind.</w:t>
      </w:r>
      <w:r>
        <w:t xml:space="preserve"> </w:t>
      </w:r>
      <w:r>
        <w:t xml:space="preserve">After the pool opens,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binds the upstream</w:t>
      </w:r>
      <w:r>
        <w:t xml:space="preserve"> </w:t>
      </w:r>
      <w:r>
        <w:rPr>
          <w:rStyle w:val="VerbatimChar"/>
        </w:rPr>
        <w:t xml:space="preserve">digital.vasic.background.PostgresTaskQueue</w:t>
      </w:r>
      <w:r>
        <w:t xml:space="preserve"> </w:t>
      </w:r>
      <w:r>
        <w:t xml:space="preserve">to the pool via Herald's local</w:t>
      </w:r>
      <w:r>
        <w:t xml:space="preserve"> </w:t>
      </w:r>
      <w:r>
        <w:rPr>
          <w:rStyle w:val="VerbatimChar"/>
        </w:rPr>
        <w:t xml:space="preserve">pgxTaskRepository</w:t>
      </w:r>
      <w:r>
        <w:t xml:space="preserve"> </w:t>
      </w:r>
      <w:r>
        <w:t xml:space="preserve">(see §5).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Dead-letter plane.</w:t>
      </w:r>
      <w:r>
        <w:t xml:space="preserve"> </w:t>
      </w:r>
      <w:r>
        <w:t xml:space="preserve">Alongside the pool/queue,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stands up the full closed-loop governance dead-letter plane (see §6).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Redis open + healthcheck.</w:t>
      </w:r>
      <w:r>
        <w:t xml:space="preserve"> </w:t>
      </w:r>
      <w:r>
        <w:t xml:space="preserve">When Redis is requested,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opens the client and calls</w:t>
      </w:r>
      <w:r>
        <w:t xml:space="preserve"> </w:t>
      </w:r>
      <w:r>
        <w:rPr>
          <w:rStyle w:val="VerbatimChar"/>
        </w:rPr>
        <w:t xml:space="preserve">rc.HealthCheck(ctx)</w:t>
      </w:r>
      <w:r>
        <w:t xml:space="preserve">. On healthcheck failure it</w:t>
      </w:r>
      <w:r>
        <w:t xml:space="preserve"> </w:t>
      </w:r>
      <w:r>
        <w:rPr>
          <w:b/>
          <w:bCs/>
        </w:rPr>
        <w:t xml:space="preserve">rolls back the pool/queue/dead-letter plane</w:t>
      </w:r>
      <w:r>
        <w:t xml:space="preserve"> </w:t>
      </w:r>
      <w:r>
        <w:t xml:space="preserve">it just opened (so a partial boot doesn't leave</w:t>
      </w:r>
      <w:r>
        <w:t xml:space="preserve"> </w:t>
      </w:r>
      <w:r>
        <w:rPr>
          <w:rStyle w:val="VerbatimChar"/>
        </w:rPr>
        <w:t xml:space="preserve">b.pool</w:t>
      </w:r>
      <w:r>
        <w:t xml:space="preserve"> </w:t>
      </w:r>
      <w:r>
        <w:t xml:space="preserve">dangling and let a retry's idempotency guard short-circuit on a half-booted lifecycle).</w:t>
      </w:r>
    </w:p>
    <w:bookmarkEnd w:id="12"/>
    <w:bookmarkStart w:id="13" w:name="Xce87ca8b9b1b55ee5d8c9fffe5dfd360d634369"/>
    <w:p>
      <w:pPr>
        <w:pStyle w:val="Heading3"/>
      </w:pPr>
      <w:r>
        <w:t xml:space="preserve">§2.3</w:t>
      </w:r>
      <w:r>
        <w:t xml:space="preserve"> </w:t>
      </w:r>
      <w:r>
        <w:rPr>
          <w:rStyle w:val="VerbatimChar"/>
        </w:rPr>
        <w:t xml:space="preserve">Down(ctx)</w:t>
      </w:r>
      <w:r>
        <w:t xml:space="preserve"> </w:t>
      </w:r>
      <w:r>
        <w:t xml:space="preserve">— graceful teardown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QuickstartBoot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</w:p>
    <w:p>
      <w:pPr>
        <w:pStyle w:val="FirstParagraph"/>
      </w:pPr>
      <w:r>
        <w:rPr>
          <w:rStyle w:val="VerbatimChar"/>
        </w:rPr>
        <w:t xml:space="preserve">Down</w:t>
      </w:r>
      <w:r>
        <w:t xml:space="preserve"> </w:t>
      </w:r>
      <w:r>
        <w:t xml:space="preserve">closes</w:t>
      </w:r>
      <w:r>
        <w:t xml:space="preserve"> </w:t>
      </w:r>
      <w:r>
        <w:rPr>
          <w:b/>
          <w:bCs/>
        </w:rPr>
        <w:t xml:space="preserve">clients FIRST, then compose</w:t>
      </w:r>
      <w:r>
        <w:t xml:space="preserve"> </w:t>
      </w:r>
      <w:r>
        <w:t xml:space="preserve">— the order matters: it closes</w:t>
      </w:r>
      <w:r>
        <w:t xml:space="preserve"> </w:t>
      </w:r>
      <w:r>
        <w:rPr>
          <w:rStyle w:val="VerbatimChar"/>
        </w:rPr>
        <w:t xml:space="preserve">b.pool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b.redis</w:t>
      </w:r>
      <w:r>
        <w:t xml:space="preserve">, nils the</w:t>
      </w:r>
      <w:r>
        <w:t xml:space="preserve"> </w:t>
      </w:r>
      <w:r>
        <w:rPr>
          <w:rStyle w:val="VerbatimChar"/>
        </w:rPr>
        <w:t xml:space="preserve">b.queue</w:t>
      </w:r>
      <w:r>
        <w:t xml:space="preserve"> </w:t>
      </w:r>
      <w:r>
        <w:t xml:space="preserve">field (the</w:t>
      </w:r>
      <w:r>
        <w:t xml:space="preserve"> </w:t>
      </w:r>
      <w:r>
        <w:rPr>
          <w:rStyle w:val="VerbatimChar"/>
        </w:rPr>
        <w:t xml:space="preserve">PostgresTaskQueue</w:t>
      </w:r>
      <w:r>
        <w:t xml:space="preserve"> </w:t>
      </w:r>
      <w:r>
        <w:t xml:space="preserve">borrows the now-closed pool — clearing the field stops a stale dequeue 500-ing, the §107 PASS-bluff this prevents), shuts down the dead-letter plane, and only then runs</w:t>
      </w:r>
      <w:r>
        <w:t xml:space="preserve"> </w:t>
      </w:r>
      <w:r>
        <w:rPr>
          <w:rStyle w:val="VerbatimChar"/>
        </w:rPr>
        <w:t xml:space="preserve">orch.Down</w:t>
      </w:r>
      <w:r>
        <w:t xml:space="preserve">. Closing clients before compose-down means pgx isn't flushing against an already-killed Postgres.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is idempotent.</w:t>
      </w:r>
    </w:p>
    <w:bookmarkEnd w:id="13"/>
    <w:bookmarkStart w:id="14" w:name="Xfb470490c3f2dc8bdea7f71bf9d0e91a5637479"/>
    <w:p>
      <w:pPr>
        <w:pStyle w:val="Heading3"/>
      </w:pPr>
      <w:r>
        <w:t xml:space="preserve">§2.4</w:t>
      </w:r>
      <w:r>
        <w:t xml:space="preserve"> </w:t>
      </w:r>
      <w:r>
        <w:rPr>
          <w:rStyle w:val="VerbatimChar"/>
        </w:rPr>
        <w:t xml:space="preserve">Status(ctx)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QuickstartBoot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compose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Returns per-service status as reported by</w:t>
      </w:r>
      <w:r>
        <w:t xml:space="preserve"> </w:t>
      </w:r>
      <w:r>
        <w:rPr>
          <w:rStyle w:val="VerbatimChar"/>
        </w:rPr>
        <w:t xml:space="preserve">compose ps</w:t>
      </w:r>
      <w:r>
        <w:t xml:space="preserve">. This is the readiness-poll primitive callers use after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(since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is unavailable, §2.2), and the probe</w:t>
      </w:r>
      <w:r>
        <w:t xml:space="preserve"> </w:t>
      </w:r>
      <w:r>
        <w:rPr>
          <w:rStyle w:val="VerbatimChar"/>
        </w:rPr>
        <w:t xml:space="preserve">pherald doctor</w:t>
      </w:r>
      <w:r>
        <w:t xml:space="preserve"> </w:t>
      </w:r>
      <w:r>
        <w:t xml:space="preserve">is intended to surface.</w:t>
      </w:r>
    </w:p>
    <w:bookmarkEnd w:id="14"/>
    <w:bookmarkEnd w:id="15"/>
    <w:bookmarkStart w:id="17" w:name="X32d62f0ae675d30a159e21d8cca41c64e63e1bf"/>
    <w:p>
      <w:pPr>
        <w:pStyle w:val="Heading2"/>
      </w:pPr>
      <w:r>
        <w:t xml:space="preserve">§3. What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actually boots (the container stack — operator section)</w:t>
      </w:r>
    </w:p>
    <w:p>
      <w:pPr>
        <w:pStyle w:val="BlockText"/>
      </w:pPr>
      <w:r>
        <w:rPr>
          <w:b/>
          <w:bCs/>
        </w:rPr>
        <w:t xml:space="preserve">Anti-bluff correction.</w:t>
      </w:r>
      <w:r>
        <w:t xml:space="preserve"> </w:t>
      </w:r>
      <w:r>
        <w:t xml:space="preserve">The boot brings up the services declared in</w:t>
      </w:r>
      <w:r>
        <w:t xml:space="preserve"> </w:t>
      </w:r>
      <w:r>
        <w:rPr>
          <w:rStyle w:val="VerbatimChar"/>
        </w:rPr>
        <w:t xml:space="preserve">quickstart/docker-compose.quickstart.yml</w:t>
      </w:r>
      <w:r>
        <w:t xml:space="preserve">.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container names and host ports below are transcribed verbatim from that file as of this revision — they are in the</w:t>
      </w:r>
      <w:r>
        <w:t xml:space="preserve"> </w:t>
      </w:r>
      <w:r>
        <w:rPr>
          <w:b/>
          <w:bCs/>
        </w:rPr>
        <w:t xml:space="preserve">24XXX</w:t>
      </w:r>
      <w:r>
        <w:t xml:space="preserve"> </w:t>
      </w:r>
      <w:r>
        <w:t xml:space="preserve">reserved range (spec §9.4), with</w:t>
      </w:r>
      <w:r>
        <w:t xml:space="preserve"> </w:t>
      </w:r>
      <w:r>
        <w:rPr>
          <w:rStyle w:val="VerbatimChar"/>
        </w:rPr>
        <w:t xml:space="preserve">herald-</w:t>
      </w:r>
      <w:r>
        <w:t xml:space="preserve">-prefixed container names. (Earlier prose elsewhere referencing a "70XXX" range or a bare</w:t>
      </w:r>
      <w:r>
        <w:t xml:space="preserve"> </w:t>
      </w:r>
      <w:r>
        <w:rPr>
          <w:rStyle w:val="VerbatimChar"/>
        </w:rPr>
        <w:t xml:space="preserve">herald</w:t>
      </w:r>
      <w:r>
        <w:t xml:space="preserve"> </w:t>
      </w:r>
      <w:r>
        <w:t xml:space="preserve">prefix does not match the committed compose; trust the table below.)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Container name</w:t>
            </w:r>
          </w:p>
        </w:tc>
        <w:tc>
          <w:tcPr/>
          <w:p>
            <w:pPr>
              <w:pStyle w:val="Compact"/>
            </w:pPr>
            <w:r>
              <w:t xml:space="preserve">Host port → container port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herald-postgres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24100:5432</w:t>
            </w:r>
          </w:p>
        </w:tc>
        <w:tc>
          <w:tcPr/>
          <w:p>
            <w:pPr>
              <w:pStyle w:val="Compact"/>
            </w:pPr>
            <w:r>
              <w:t xml:space="preserve">Main DB (multi-tenant, RLS-enforced).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herald-redis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24200:6379</w:t>
            </w:r>
          </w:p>
        </w:tc>
        <w:tc>
          <w:tcPr/>
          <w:p>
            <w:pPr>
              <w:pStyle w:val="Compact"/>
            </w:pPr>
            <w:r>
              <w:t xml:space="preserve">In-memory cache;</w:t>
            </w:r>
            <w:r>
              <w:t xml:space="preserve"> </w:t>
            </w:r>
            <w:r>
              <w:rPr>
                <w:rStyle w:val="VerbatimChar"/>
              </w:rPr>
              <w:t xml:space="preserve">--requirepass</w:t>
            </w:r>
            <w:r>
              <w:t xml:space="preserve"> </w:t>
            </w:r>
            <w:r>
              <w:t xml:space="preserve">enabled.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OTel Collector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herald-otel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24417:4317</w:t>
            </w:r>
            <w:r>
              <w:t xml:space="preserve"> </w:t>
            </w:r>
            <w:r>
              <w:t xml:space="preserve">(OTLP gRPC),</w:t>
            </w:r>
            <w:r>
              <w:t xml:space="preserve"> </w:t>
            </w:r>
            <w:r>
              <w:rPr>
                <w:rStyle w:val="VerbatimChar"/>
              </w:rPr>
              <w:t xml:space="preserve">24418:4318</w:t>
            </w:r>
            <w:r>
              <w:t xml:space="preserve"> </w:t>
            </w:r>
            <w:r>
              <w:t xml:space="preserve">(OTLP HTTP)</w:t>
            </w:r>
          </w:p>
        </w:tc>
        <w:tc>
          <w:tcPr/>
          <w:p>
            <w:pPr>
              <w:pStyle w:val="Compact"/>
            </w:pPr>
            <w:r>
              <w:t xml:space="preserve">Telemetry collection (</w:t>
            </w:r>
            <w:r>
              <w:rPr>
                <w:rStyle w:val="VerbatimChar"/>
              </w:rPr>
              <w:t xml:space="preserve">otel/opentelemetry-collector-contrib:0.115.0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pherald (app)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herald-pherald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24091:24091</w:t>
            </w:r>
            <w:r>
              <w:t xml:space="preserve"> </w:t>
            </w:r>
            <w:r>
              <w:t xml:space="preserve">(webhook ingress),</w:t>
            </w:r>
            <w:r>
              <w:t xml:space="preserve"> </w:t>
            </w:r>
            <w:r>
              <w:rPr>
                <w:rStyle w:val="VerbatimChar"/>
              </w:rPr>
              <w:t xml:space="preserve">24090:24090</w:t>
            </w:r>
            <w:r>
              <w:t xml:space="preserve"> </w:t>
            </w:r>
            <w:r>
              <w:t xml:space="preserve">(admin:</w:t>
            </w:r>
            <w:r>
              <w:t xml:space="preserve"> </w:t>
            </w:r>
            <w:r>
              <w:rPr>
                <w:rStyle w:val="VerbatimChar"/>
              </w:rPr>
              <w:t xml:space="preserve">/livez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/readyz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/admin/version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flavor binary itself (booted by the full compose; not opened as a client by this module).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commons_infra</w:t>
      </w:r>
      <w:r>
        <w:t xml:space="preserve"> </w:t>
      </w:r>
      <w:r>
        <w:t xml:space="preserve">itself only opens</w:t>
      </w:r>
      <w:r>
        <w:t xml:space="preserve"> </w:t>
      </w:r>
      <w:r>
        <w:rPr>
          <w:b/>
          <w:bCs/>
        </w:rPr>
        <w:t xml:space="preserve">client handles</w:t>
      </w:r>
      <w:r>
        <w:t xml:space="preserve"> </w:t>
      </w:r>
      <w:r>
        <w:t xml:space="preserve">for Postgres and Redis (the OTel collector is consumed by the running binaries via</w:t>
      </w:r>
      <w:r>
        <w:t xml:space="preserve"> </w:t>
      </w:r>
      <w:r>
        <w:rPr>
          <w:rStyle w:val="VerbatimChar"/>
        </w:rPr>
        <w:t xml:space="preserve">OTEL_EXPORTER_OTLP_ENDPOINT</w:t>
      </w:r>
      <w:r>
        <w:t xml:space="preserve">, not by this module). The Postgres/Redis connection defaults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uses (host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ports</w:t>
      </w:r>
      <w:r>
        <w:t xml:space="preserve"> </w:t>
      </w:r>
      <w:r>
        <w:rPr>
          <w:rStyle w:val="VerbatimChar"/>
        </w:rPr>
        <w:t xml:space="preserve">24100</w:t>
      </w:r>
      <w:r>
        <w:t xml:space="preserve">/</w:t>
      </w:r>
      <w:r>
        <w:rPr>
          <w:rStyle w:val="VerbatimChar"/>
        </w:rPr>
        <w:t xml:space="preserve">24200</w:t>
      </w:r>
      <w:r>
        <w:t xml:space="preserve">) match the host-side compose mappings above and are overridable via env vars (§3.1) without code changes.</w:t>
      </w:r>
    </w:p>
    <w:bookmarkStart w:id="16" w:name="X8f0c4163572c8a3c67996e6fad622c02d0b6b99"/>
    <w:p>
      <w:pPr>
        <w:pStyle w:val="Heading3"/>
      </w:pPr>
      <w:r>
        <w:t xml:space="preserve">§3.1 Env-var overrides (</w:t>
      </w:r>
      <w:r>
        <w:rPr>
          <w:rStyle w:val="VerbatimChar"/>
        </w:rPr>
        <w:t xml:space="preserve">envOr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envOrInt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Up</w:t>
      </w:r>
      <w:r>
        <w:t xml:space="preserve"> </w:t>
      </w:r>
      <w:r>
        <w:t xml:space="preserve">reads these via the</w:t>
      </w:r>
      <w:r>
        <w:t xml:space="preserve"> </w:t>
      </w:r>
      <w:r>
        <w:rPr>
          <w:rStyle w:val="VerbatimChar"/>
        </w:rPr>
        <w:t xml:space="preserve">envOr</w:t>
      </w:r>
      <w:r>
        <w:t xml:space="preserve"> </w:t>
      </w:r>
      <w:r>
        <w:t xml:space="preserve">(string) /</w:t>
      </w:r>
      <w:r>
        <w:t xml:space="preserve"> </w:t>
      </w:r>
      <w:r>
        <w:rPr>
          <w:rStyle w:val="VerbatimChar"/>
        </w:rPr>
        <w:t xml:space="preserve">envOrInt</w:t>
      </w:r>
      <w:r>
        <w:t xml:space="preserve"> </w:t>
      </w:r>
      <w:r>
        <w:t xml:space="preserve">(int) helpers; each falls back to the Herald development default when the var is unset or empty: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HERALD_DB_HOST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</w:pPr>
            <w:r>
              <w:t xml:space="preserve">Postgres 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HERALD_DB_PORT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24100</w:t>
            </w:r>
          </w:p>
        </w:tc>
        <w:tc>
          <w:tcPr/>
          <w:p>
            <w:pPr>
              <w:pStyle w:val="Compact"/>
            </w:pPr>
            <w:r>
              <w:t xml:space="preserve">Postgres host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HERALD_DB_USER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</w:t>
            </w:r>
          </w:p>
        </w:tc>
        <w:tc>
          <w:tcPr/>
          <w:p>
            <w:pPr>
              <w:pStyle w:val="Compact"/>
            </w:pPr>
            <w:r>
              <w:t xml:space="preserve">Postgres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HERALD_DB_PASSWORD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herald_dev</w:t>
            </w:r>
          </w:p>
        </w:tc>
        <w:tc>
          <w:tcPr/>
          <w:p>
            <w:pPr>
              <w:pStyle w:val="Compact"/>
            </w:pPr>
            <w:r>
              <w:t xml:space="preserve">Postgres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HERALD_DB_NAME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</w:t>
            </w:r>
          </w:p>
        </w:tc>
        <w:tc>
          <w:tcPr/>
          <w:p>
            <w:pPr>
              <w:pStyle w:val="Compact"/>
            </w:pPr>
            <w:r>
              <w:t xml:space="preserve">Postgres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HERALD_REDIS_ADDR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127.0.0.1:24200</w:t>
            </w:r>
          </w:p>
        </w:tc>
        <w:tc>
          <w:tcPr/>
          <w:p>
            <w:pPr>
              <w:pStyle w:val="Compact"/>
            </w:pPr>
            <w:r>
              <w:t xml:space="preserve">Redis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HERALD_REDIS_PASSWORD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Redis password (compose requires the operator supply 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HERALD_REDIS_DB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Redis logical DB index</w:t>
            </w:r>
          </w:p>
        </w:tc>
      </w:tr>
    </w:tbl>
    <w:p>
      <w:pPr>
        <w:pStyle w:val="BodyText"/>
      </w:pPr>
      <w:r>
        <w:t xml:space="preserve">These are the canonical names aligned with the compose file (the earlier</w:t>
      </w:r>
      <w:r>
        <w:t xml:space="preserve"> </w:t>
      </w:r>
      <w:r>
        <w:rPr>
          <w:rStyle w:val="VerbatimChar"/>
        </w:rPr>
        <w:t xml:space="preserve">HERALD_PG_PASSWORD</w:t>
      </w:r>
      <w:r>
        <w:t xml:space="preserve"> </w:t>
      </w:r>
      <w:r>
        <w:t xml:space="preserve">chained drift was removed in HRD-010 Task 4). Per Herald's credential resolution order, exported shell vars win over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16"/>
    <w:bookmarkEnd w:id="17"/>
    <w:bookmarkStart w:id="18" w:name="X04d25953763edf6e8c6c3a8ba9a16859d694a26"/>
    <w:p>
      <w:pPr>
        <w:pStyle w:val="Heading2"/>
      </w:pPr>
      <w:r>
        <w:t xml:space="preserve">§4. The client getters and the</w:t>
      </w:r>
      <w:r>
        <w:t xml:space="preserve"> </w:t>
      </w:r>
      <w:r>
        <w:rPr>
          <w:rStyle w:val="VerbatimChar"/>
        </w:rPr>
        <w:t xml:space="preserve">ErrNotBooted</w:t>
      </w:r>
      <w:r>
        <w:t xml:space="preserve"> </w:t>
      </w:r>
      <w:r>
        <w:t xml:space="preserve">anti-bluff contract</w:t>
      </w:r>
    </w:p>
    <w:p>
      <w:pPr>
        <w:pStyle w:val="FirstParagraph"/>
      </w:pPr>
      <w:r>
        <w:rPr>
          <w:rStyle w:val="VerbatimChar"/>
        </w:rPr>
        <w:t xml:space="preserve">clients.go</w:t>
      </w:r>
      <w:r>
        <w:t xml:space="preserve"> </w:t>
      </w:r>
      <w:r>
        <w:t xml:space="preserve">exposes the handles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populated. Every getter returns</w:t>
      </w:r>
      <w:r>
        <w:t xml:space="preserve"> </w:t>
      </w:r>
      <w:r>
        <w:rPr>
          <w:rStyle w:val="VerbatimChar"/>
        </w:rPr>
        <w:t xml:space="preserve">ErrNotBooted</w:t>
      </w:r>
      <w:r>
        <w:t xml:space="preserve"> </w:t>
      </w:r>
      <w:r>
        <w:t xml:space="preserve">when its field is</w:t>
      </w:r>
      <w:r>
        <w:t xml:space="preserve"> </w:t>
      </w:r>
      <w:r>
        <w:rPr>
          <w:rStyle w:val="VerbatimChar"/>
        </w:rPr>
        <w:t xml:space="preserve">nil</w:t>
      </w:r>
      <w:r>
        <w:t xml:space="preserve"> </w:t>
      </w:r>
      <w:r>
        <w:t xml:space="preserve">— and the package doc states plainly: a caller that gets</w:t>
      </w:r>
      <w:r>
        <w:t xml:space="preserve"> </w:t>
      </w:r>
      <w:r>
        <w:rPr>
          <w:rStyle w:val="VerbatimChar"/>
        </w:rPr>
        <w:t xml:space="preserve">nil + ErrNotBooted</w:t>
      </w:r>
      <w:r>
        <w:t xml:space="preserve"> </w:t>
      </w:r>
      <w:r>
        <w:t xml:space="preserve">and PASSes without asserting</w:t>
      </w:r>
      <w:r>
        <w:t xml:space="preserve"> </w:t>
      </w:r>
      <w:r>
        <w:rPr>
          <w:b/>
          <w:bCs/>
        </w:rPr>
        <w:t xml:space="preserve">is a bluff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ErrNotBooted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"commons_infra: QuickstartBoot.Up() not called or failed; clients unavailable"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QuickstartBoot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driver-agnostic pgx-backed pool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QuickstartBoot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= digital.vasic.background.TaskQueue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QuickstartBoot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*digital.vasic.cache/pkg/redis.Client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QuickstartBoot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DeadLetterSink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DeadLetterSink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durable dead-letter audit sink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Pool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digital.vasic.database/pkg/database.Database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driver-agnostic interface</w:t>
      </w:r>
      <w:r>
        <w:t xml:space="preserve">, not a raw</w:t>
      </w:r>
      <w:r>
        <w:t xml:space="preserve"> </w:t>
      </w:r>
      <w:r>
        <w:rPr>
          <w:rStyle w:val="VerbatimChar"/>
        </w:rPr>
        <w:t xml:space="preserve">pgxpool.Pool</w:t>
      </w:r>
      <w:r>
        <w:t xml:space="preserve">, so it composes with the Helix-stack abstraction.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Queue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TaskQueue</w:t>
      </w:r>
      <w:r>
        <w:t xml:space="preserve"> </w:t>
      </w:r>
      <w:r>
        <w:t xml:space="preserve">(a type alias for</w:t>
      </w:r>
      <w:r>
        <w:t xml:space="preserve"> </w:t>
      </w:r>
      <w:r>
        <w:rPr>
          <w:rStyle w:val="VerbatimChar"/>
        </w:rPr>
        <w:t xml:space="preserve">digital.vasic.background.TaskQueue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Redis</w:t>
      </w:r>
      <w:r>
        <w:t xml:space="preserve"> </w:t>
      </w:r>
      <w:r>
        <w:t xml:space="preserve">returns the</w:t>
      </w:r>
      <w:r>
        <w:t xml:space="preserve"> </w:t>
      </w:r>
      <w:r>
        <w:rPr>
          <w:b/>
          <w:bCs/>
        </w:rPr>
        <w:t xml:space="preserve">concrete</w:t>
      </w:r>
      <w:r>
        <w:t xml:space="preserve"> </w:t>
      </w:r>
      <w:r>
        <w:rPr>
          <w:rStyle w:val="VerbatimChar"/>
        </w:rPr>
        <w:t xml:space="preserve">*redis.Client</w:t>
      </w:r>
      <w:r>
        <w:t xml:space="preserve"> </w:t>
      </w:r>
      <w:r>
        <w:t xml:space="preserve">struct (the upstream's surface is a struct, not an interface).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DeadLetterSink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ErrNotBooted</w:t>
      </w:r>
      <w:r>
        <w:t xml:space="preserve"> </w:t>
      </w:r>
      <w:r>
        <w:t xml:space="preserve">when the boot opened</w:t>
      </w:r>
      <w:r>
        <w:t xml:space="preserve"> </w:t>
      </w:r>
      <w:r>
        <w:rPr>
          <w:b/>
          <w:bCs/>
        </w:rPr>
        <w:t xml:space="preserve">no Postgres pool</w:t>
      </w:r>
      <w:r>
        <w:t xml:space="preserve"> </w:t>
      </w:r>
      <w:r>
        <w:t xml:space="preserve">— the dead-letter plane is stood up only alongside the pool/queue (§6).</w:t>
      </w:r>
    </w:p>
    <w:p>
      <w:pPr>
        <w:pStyle w:val="FirstParagraph"/>
      </w:pPr>
      <w:r>
        <w:t xml:space="preserve">Callers MUST check the error and abort;</w:t>
      </w:r>
      <w:r>
        <w:t xml:space="preserve"> </w:t>
      </w:r>
      <w:r>
        <w:rPr>
          <w:rStyle w:val="VerbatimChar"/>
        </w:rPr>
        <w:t xml:space="preserve">clients_test.go</w:t>
      </w:r>
      <w:r>
        <w:t xml:space="preserve"> </w:t>
      </w:r>
      <w:r>
        <w:t xml:space="preserve">pins this contract via</w:t>
      </w:r>
      <w:r>
        <w:t xml:space="preserve"> </w:t>
      </w:r>
      <w:r>
        <w:rPr>
          <w:rStyle w:val="VerbatimChar"/>
        </w:rPr>
        <w:t xml:space="preserve">errors.Is(err, ErrNotBooted)</w:t>
      </w:r>
      <w:r>
        <w:t xml:space="preserve">.</w:t>
      </w:r>
    </w:p>
    <w:bookmarkEnd w:id="18"/>
    <w:bookmarkStart w:id="19" w:name="Xde011030b42aa3b7caa9ad065b60b6285ed51ec"/>
    <w:p>
      <w:pPr>
        <w:pStyle w:val="Heading2"/>
      </w:pPr>
      <w:r>
        <w:t xml:space="preserve">§5. The</w:t>
      </w:r>
      <w:r>
        <w:t xml:space="preserve"> </w:t>
      </w:r>
      <w:r>
        <w:rPr>
          <w:rStyle w:val="VerbatimChar"/>
        </w:rPr>
        <w:t xml:space="preserve">pgxTaskRepository</w:t>
      </w:r>
      <w:r>
        <w:t xml:space="preserve"> </w:t>
      </w:r>
      <w:r>
        <w:t xml:space="preserve">(19 methods) + the queue seam</w:t>
      </w:r>
    </w:p>
    <w:p>
      <w:pPr>
        <w:pStyle w:val="FirstParagraph"/>
      </w:pPr>
      <w:r>
        <w:t xml:space="preserve">The upstream</w:t>
      </w:r>
      <w:r>
        <w:t xml:space="preserve"> </w:t>
      </w:r>
      <w:r>
        <w:rPr>
          <w:rStyle w:val="VerbatimChar"/>
        </w:rPr>
        <w:t xml:space="preserve">digital.vasic.background.PostgresTaskQueue</w:t>
      </w:r>
      <w:r>
        <w:t xml:space="preserve"> </w:t>
      </w:r>
      <w:r>
        <w:t xml:space="preserve">requires a</w:t>
      </w:r>
      <w:r>
        <w:t xml:space="preserve"> </w:t>
      </w:r>
      <w:r>
        <w:rPr>
          <w:rStyle w:val="VerbatimChar"/>
        </w:rPr>
        <w:t xml:space="preserve">background.TaskRepository</w:t>
      </w:r>
      <w:r>
        <w:t xml:space="preserve"> </w:t>
      </w:r>
      <w:r>
        <w:t xml:space="preserve">implementation 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ship one — the schema (columns, indexes) is consumer-specific. Per §11.4.74 (extend-don't-reimplement), Herald reuses the upstream queue's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/</w:t>
      </w:r>
      <w:r>
        <w:rPr>
          <w:rStyle w:val="VerbatimChar"/>
        </w:rPr>
        <w:t xml:space="preserve">Dequeue</w:t>
      </w:r>
      <w:r>
        <w:t xml:space="preserve">/</w:t>
      </w:r>
      <w:r>
        <w:rPr>
          <w:rStyle w:val="VerbatimChar"/>
        </w:rPr>
        <w:t xml:space="preserve">Peek</w:t>
      </w:r>
      <w:r>
        <w:t xml:space="preserve">/</w:t>
      </w:r>
      <w:r>
        <w:rPr>
          <w:rStyle w:val="VerbatimChar"/>
        </w:rPr>
        <w:t xml:space="preserve">Requeue</w:t>
      </w:r>
      <w:r>
        <w:t xml:space="preserve">/</w:t>
      </w:r>
      <w:r>
        <w:rPr>
          <w:rStyle w:val="VerbatimChar"/>
        </w:rPr>
        <w:t xml:space="preserve">MoveToDeadLetter</w:t>
      </w:r>
      <w:r>
        <w:t xml:space="preserve">/</w:t>
      </w:r>
      <w:r>
        <w:rPr>
          <w:rStyle w:val="VerbatimChar"/>
        </w:rPr>
        <w:t xml:space="preserve">GetPendingCount</w:t>
      </w:r>
      <w:r>
        <w:t xml:space="preserve">/</w:t>
      </w:r>
      <w:r>
        <w:rPr>
          <w:rStyle w:val="VerbatimChar"/>
        </w:rPr>
        <w:t xml:space="preserve">GetRunningCount</w:t>
      </w:r>
      <w:r>
        <w:t xml:space="preserve">/</w:t>
      </w:r>
      <w:r>
        <w:rPr>
          <w:rStyle w:val="VerbatimChar"/>
        </w:rPr>
        <w:t xml:space="preserve">GetQueueDepth</w:t>
      </w:r>
      <w:r>
        <w:t xml:space="preserve"> </w:t>
      </w:r>
      <w:r>
        <w:rPr>
          <w:i/>
          <w:iCs/>
        </w:rPr>
        <w:t xml:space="preserve">logic</w:t>
      </w:r>
      <w:r>
        <w:t xml:space="preserve"> </w:t>
      </w:r>
      <w:r>
        <w:t xml:space="preserve">and owns only the thin SQL-binding repository underneath it:</w:t>
      </w:r>
      <w:r>
        <w:t xml:space="preserve"> </w:t>
      </w:r>
      <w:r>
        <w:rPr>
          <w:rStyle w:val="VerbatimChar"/>
        </w:rPr>
        <w:t xml:space="preserve">pgxTaskRepository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task_repository.go</w:t>
      </w:r>
      <w:r>
        <w:t xml:space="preserve">.</w:t>
      </w:r>
    </w:p>
    <w:p>
      <w:pPr>
        <w:pStyle w:val="BodyText"/>
      </w:pPr>
      <w:r>
        <w:t xml:space="preserve">It holds the universal</w:t>
      </w:r>
      <w:r>
        <w:t xml:space="preserve"> </w:t>
      </w:r>
      <w:r>
        <w:rPr>
          <w:rStyle w:val="VerbatimChar"/>
        </w:rPr>
        <w:t xml:space="preserve">db.Database</w:t>
      </w:r>
      <w:r>
        <w:t xml:space="preserve"> </w:t>
      </w:r>
      <w:r>
        <w:t xml:space="preserve">interface (not the raw pool) plus an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rPr>
          <w:rStyle w:val="VerbatimChar"/>
        </w:rPr>
        <w:t xml:space="preserve">constitution.EventEmitter</w:t>
      </w:r>
      <w:r>
        <w:t xml:space="preserve">. Two constructors:</w:t>
      </w:r>
      <w:r>
        <w:t xml:space="preserve"> </w:t>
      </w:r>
      <w:r>
        <w:rPr>
          <w:rStyle w:val="VerbatimChar"/>
        </w:rPr>
        <w:t xml:space="preserve">newPgxTaskRepository(database)</w:t>
      </w:r>
      <w:r>
        <w:t xml:space="preserve"> </w:t>
      </w:r>
      <w:r>
        <w:t xml:space="preserve">(no emitter) and</w:t>
      </w:r>
      <w:r>
        <w:t xml:space="preserve"> </w:t>
      </w:r>
      <w:r>
        <w:rPr>
          <w:rStyle w:val="VerbatimChar"/>
        </w:rPr>
        <w:t xml:space="preserve">newPgxTaskRepositoryWithEmitter(database, emitter)</w:t>
      </w:r>
      <w:r>
        <w:t xml:space="preserve"> </w:t>
      </w:r>
      <w:r>
        <w:t xml:space="preserve">(publishes</w:t>
      </w:r>
      <w:r>
        <w:t xml:space="preserve"> </w:t>
      </w:r>
      <w:r>
        <w:rPr>
          <w:rStyle w:val="VerbatimChar"/>
        </w:rPr>
        <w:t xml:space="preserve">.queue.dead_letter</w:t>
      </w:r>
      <w:r>
        <w:t xml:space="preserve"> </w:t>
      </w:r>
      <w:r>
        <w:t xml:space="preserve">on dead-letter moves — see §6). The emitter is nil-tolerant: the move still happens, the event is simply not published.</w:t>
      </w:r>
    </w:p>
    <w:p>
      <w:pPr>
        <w:pStyle w:val="BodyText"/>
      </w:pPr>
      <w:r>
        <w:t xml:space="preserve">The repository implements</w:t>
      </w:r>
      <w:r>
        <w:t xml:space="preserve"> </w:t>
      </w:r>
      <w:r>
        <w:rPr>
          <w:b/>
          <w:bCs/>
        </w:rPr>
        <w:t xml:space="preserve">19</w:t>
      </w:r>
      <w:r>
        <w:t xml:space="preserve"> </w:t>
      </w:r>
      <w:r>
        <w:t xml:space="preserve">methods against the</w:t>
      </w:r>
      <w:r>
        <w:t xml:space="preserve"> </w:t>
      </w:r>
      <w:r>
        <w:rPr>
          <w:rStyle w:val="VerbatimChar"/>
        </w:rPr>
        <w:t xml:space="preserve">background_tasks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background_task_events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task_resource_snapshots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dead_letter_tasks</w:t>
      </w:r>
      <w:r>
        <w:t xml:space="preserve"> </w:t>
      </w:r>
      <w:r>
        <w:t xml:space="preserve">tables: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Insert; columns map 1:1 to migration 000009</w:t>
            </w:r>
            <w:r>
              <w:t xml:space="preserve"> </w:t>
            </w:r>
            <w:r>
              <w:rPr>
                <w:rStyle w:val="VerbatimChar"/>
              </w:rPr>
              <w:t xml:space="preserve">background_tasks</w:t>
            </w:r>
            <w:r>
              <w:t xml:space="preserve">. Called by</w:t>
            </w:r>
            <w:r>
              <w:t xml:space="preserve"> </w:t>
            </w:r>
            <w:r>
              <w:rPr>
                <w:rStyle w:val="VerbatimChar"/>
              </w:rPr>
              <w:t xml:space="preserve">Enqueue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Dequeue</w:t>
            </w:r>
          </w:p>
        </w:tc>
        <w:tc>
          <w:tcPr/>
          <w:p>
            <w:pPr>
              <w:pStyle w:val="Compact"/>
            </w:pPr>
            <w:r>
              <w:t xml:space="preserve">Resource-filtered claim by</w:t>
            </w:r>
            <w:r>
              <w:t xml:space="preserve"> </w:t>
            </w:r>
            <w:r>
              <w:rPr>
                <w:rStyle w:val="VerbatimChar"/>
              </w:rPr>
              <w:t xml:space="preserve">workerID</w:t>
            </w:r>
            <w:r>
              <w:t xml:space="preserve"> </w:t>
            </w:r>
            <w:r>
              <w:t xml:space="preserve">+ CPU/memory caps.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LogEvent</w:t>
            </w:r>
          </w:p>
        </w:tc>
        <w:tc>
          <w:tcPr/>
          <w:p>
            <w:pPr>
              <w:pStyle w:val="Compact"/>
            </w:pPr>
            <w:r>
              <w:t xml:space="preserve">Appends a</w:t>
            </w:r>
            <w:r>
              <w:t xml:space="preserve"> </w:t>
            </w:r>
            <w:r>
              <w:rPr>
                <w:rStyle w:val="VerbatimChar"/>
              </w:rPr>
              <w:t xml:space="preserve">background_task_events</w:t>
            </w:r>
            <w:r>
              <w:t xml:space="preserve"> </w:t>
            </w:r>
            <w:r>
              <w:t xml:space="preserve">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GetByID</w:t>
            </w:r>
          </w:p>
        </w:tc>
        <w:tc>
          <w:tcPr/>
          <w:p>
            <w:pPr>
              <w:pStyle w:val="Compact"/>
            </w:pPr>
            <w:r>
              <w:t xml:space="preserve">Single-task fetch.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Full-row update.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Soft-delete (preserves FK children).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UpdateStatus</w:t>
            </w:r>
          </w:p>
        </w:tc>
        <w:tc>
          <w:tcPr/>
          <w:p>
            <w:pPr>
              <w:pStyle w:val="Compact"/>
            </w:pPr>
            <w:r>
              <w:t xml:space="preserve">Status transition.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UpdateProgress</w:t>
            </w:r>
          </w:p>
        </w:tc>
        <w:tc>
          <w:tcPr/>
          <w:p>
            <w:pPr>
              <w:pStyle w:val="Compact"/>
            </w:pPr>
            <w:r>
              <w:t xml:space="preserve">Progress fraction + message.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UpdateHeartbeat</w:t>
            </w:r>
          </w:p>
        </w:tc>
        <w:tc>
          <w:tcPr/>
          <w:p>
            <w:pPr>
              <w:pStyle w:val="Compact"/>
            </w:pPr>
            <w:r>
              <w:t xml:space="preserve">Liveness stamp.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SaveCheckpoint</w:t>
            </w:r>
          </w:p>
        </w:tc>
        <w:tc>
          <w:tcPr/>
          <w:p>
            <w:pPr>
              <w:pStyle w:val="Compact"/>
            </w:pPr>
            <w:r>
              <w:t xml:space="preserve">Resumable-task checkpoint blob.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GetByStatus</w:t>
            </w:r>
          </w:p>
        </w:tc>
        <w:tc>
          <w:tcPr/>
          <w:p>
            <w:pPr>
              <w:pStyle w:val="Compact"/>
            </w:pPr>
            <w:r>
              <w:t xml:space="preserve">Paged by status (</w:t>
            </w:r>
            <w:r>
              <w:rPr>
                <w:rStyle w:val="VerbatimChar"/>
              </w:rPr>
              <w:t xml:space="preserve">limit</w:t>
            </w:r>
            <w:r>
              <w:t xml:space="preserve">/</w:t>
            </w:r>
            <w:r>
              <w:rPr>
                <w:rStyle w:val="VerbatimChar"/>
              </w:rPr>
              <w:t xml:space="preserve">offset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GetPendingTasks</w:t>
            </w:r>
          </w:p>
        </w:tc>
        <w:tc>
          <w:tcPr/>
          <w:p>
            <w:pPr>
              <w:pStyle w:val="Compact"/>
            </w:pPr>
            <w:r>
              <w:t xml:space="preserve">The dispatch read.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CountByStatus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map[TaskStatus]int64</w:t>
            </w:r>
            <w:r>
              <w:t xml:space="preserve"> </w:t>
            </w:r>
            <w:r>
              <w:t xml:space="preserve">aggregate.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GetTaskHistory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task_execution_history</w:t>
            </w:r>
            <w:r>
              <w:t xml:space="preserve"> </w:t>
            </w:r>
            <w:r>
              <w:t xml:space="preserve">rows for a task.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GetStaleTasks</w:t>
            </w:r>
          </w:p>
        </w:tc>
        <w:tc>
          <w:tcPr/>
          <w:p>
            <w:pPr>
              <w:pStyle w:val="Compact"/>
            </w:pPr>
            <w:r>
              <w:t xml:space="preserve">Heartbeat-threshold stuck-detector read.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GetByWorkerID</w:t>
            </w:r>
          </w:p>
        </w:tc>
        <w:tc>
          <w:tcPr/>
          <w:p>
            <w:pPr>
              <w:pStyle w:val="Compact"/>
            </w:pPr>
            <w:r>
              <w:t xml:space="preserve">All tasks claimed by a worker.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SaveResourceSnapshot</w:t>
            </w:r>
          </w:p>
        </w:tc>
        <w:tc>
          <w:tcPr/>
          <w:p>
            <w:pPr>
              <w:pStyle w:val="Compact"/>
            </w:pPr>
            <w:r>
              <w:t xml:space="preserve">Append into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task_resource_snapshots</w:t>
            </w:r>
            <w:r>
              <w:t xml:space="preserve"> </w:t>
            </w:r>
            <w:r>
              <w:t xml:space="preserve">(migration</w:t>
            </w:r>
            <w:r>
              <w:t xml:space="preserve"> </w:t>
            </w:r>
            <w:r>
              <w:rPr>
                <w:b/>
                <w:bCs/>
              </w:rPr>
              <w:t xml:space="preserve">000013</w:t>
            </w:r>
            <w:r>
              <w:t xml:space="preserve">, HRD-089); UUIDv7 PK so samples sort chronologically.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GetResourceSnapshots</w:t>
            </w:r>
          </w:p>
        </w:tc>
        <w:tc>
          <w:tcPr/>
          <w:p>
            <w:pPr>
              <w:pStyle w:val="Compact"/>
            </w:pPr>
            <w:r>
              <w:t xml:space="preserve">Reverse-chronological time-series read;</w:t>
            </w:r>
            <w:r>
              <w:t xml:space="preserve"> </w:t>
            </w:r>
            <w:r>
              <w:rPr>
                <w:rStyle w:val="VerbatimChar"/>
              </w:rPr>
              <w:t xml:space="preserve">limit &lt;= 0</w:t>
            </w:r>
            <w:r>
              <w:t xml:space="preserve"> </w:t>
            </w:r>
            <w:r>
              <w:t xml:space="preserve">rejected.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MoveToDeadLetter</w:t>
            </w:r>
          </w:p>
        </w:tc>
        <w:tc>
          <w:tcPr/>
          <w:p>
            <w:pPr>
              <w:pStyle w:val="Compact"/>
            </w:pPr>
            <w:r>
              <w:t xml:space="preserve">Atomic move into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dead_letter_tasks</w:t>
            </w:r>
            <w:r>
              <w:t xml:space="preserve"> </w:t>
            </w:r>
            <w:r>
              <w:t xml:space="preserve">(migration</w:t>
            </w:r>
            <w:r>
              <w:t xml:space="preserve"> </w:t>
            </w:r>
            <w:r>
              <w:rPr>
                <w:b/>
                <w:bCs/>
              </w:rPr>
              <w:t xml:space="preserve">000014</w:t>
            </w:r>
            <w:r>
              <w:t xml:space="preserve">, HRD-090): full JSONB snapshot INSERT + mark source row terminal</w:t>
            </w:r>
            <w:r>
              <w:t xml:space="preserve"> </w:t>
            </w:r>
            <w:r>
              <w:rPr>
                <w:rStyle w:val="VerbatimChar"/>
              </w:rPr>
              <w:t xml:space="preserve">status='dead_letter'</w:t>
            </w:r>
            <w:r>
              <w:t xml:space="preserve">. Mark-terminal (not hard-DELETE) so the FK + audit children survive. Publishes</w:t>
            </w:r>
            <w:r>
              <w:t xml:space="preserve"> </w:t>
            </w:r>
            <w:r>
              <w:rPr>
                <w:rStyle w:val="VerbatimChar"/>
              </w:rPr>
              <w:t xml:space="preserve">.queue.dead_letter</w:t>
            </w:r>
            <w:r>
              <w:t xml:space="preserve"> </w:t>
            </w:r>
            <w:r>
              <w:t xml:space="preserve">best-effort when an emitter is wired.</w:t>
            </w:r>
          </w:p>
        </w:tc>
      </w:tr>
    </w:tbl>
    <w:p>
      <w:pPr>
        <w:pStyle w:val="BodyText"/>
      </w:pPr>
      <w:r>
        <w:t xml:space="preserve">Migrations</w:t>
      </w:r>
      <w:r>
        <w:t xml:space="preserve"> </w:t>
      </w:r>
      <w:r>
        <w:rPr>
          <w:b/>
          <w:bCs/>
        </w:rPr>
        <w:t xml:space="preserve">000013</w:t>
      </w:r>
      <w:r>
        <w:t xml:space="preserve"> </w:t>
      </w:r>
      <w:r>
        <w:t xml:space="preserve">(</w:t>
      </w:r>
      <w:r>
        <w:rPr>
          <w:rStyle w:val="VerbatimChar"/>
        </w:rPr>
        <w:t xml:space="preserve">task_resource_snapshots</w:t>
      </w:r>
      <w:r>
        <w:t xml:space="preserve">) and</w:t>
      </w:r>
      <w:r>
        <w:t xml:space="preserve"> </w:t>
      </w:r>
      <w:r>
        <w:rPr>
          <w:b/>
          <w:bCs/>
        </w:rPr>
        <w:t xml:space="preserve">000014</w:t>
      </w:r>
      <w:r>
        <w:t xml:space="preserve"> </w:t>
      </w:r>
      <w:r>
        <w:t xml:space="preserve">(</w:t>
      </w:r>
      <w:r>
        <w:rPr>
          <w:rStyle w:val="VerbatimChar"/>
        </w:rPr>
        <w:t xml:space="preserve">dead_letter_tasks</w:t>
      </w:r>
      <w:r>
        <w:t xml:space="preserve">) both deliberately carry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tenant_id</w:t>
      </w:r>
      <w:r>
        <w:rPr>
          <w:b/>
          <w:bCs/>
        </w:rPr>
        <w:t xml:space="preserve"> </w:t>
      </w:r>
      <w:r>
        <w:rPr>
          <w:b/>
          <w:bCs/>
        </w:rPr>
        <w:t xml:space="preserve">/ RLS</w:t>
      </w:r>
      <w:r>
        <w:t xml:space="preserve"> </w:t>
      </w:r>
      <w:r>
        <w:t xml:space="preserve">— they are dispatcher-internal queue/monitoring infrastructure; tenant context lives in the parent task's JSON payload, enforced one level up by Herald service code. Both FK to</w:t>
      </w:r>
      <w:r>
        <w:t xml:space="preserve"> </w:t>
      </w:r>
      <w:r>
        <w:rPr>
          <w:rStyle w:val="VerbatimChar"/>
        </w:rPr>
        <w:t xml:space="preserve">background_tasks(id)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queue.go</w:t>
      </w:r>
      <w:r>
        <w:t xml:space="preserve"> </w:t>
      </w:r>
      <w:r>
        <w:t xml:space="preserve">is the alias seam:</w:t>
      </w:r>
      <w:r>
        <w:t xml:space="preserve"> </w:t>
      </w:r>
      <w:r>
        <w:rPr>
          <w:rStyle w:val="VerbatimChar"/>
        </w:rPr>
        <w:t xml:space="preserve">Task = models.BackgroundTask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TaskPriority = models.TaskPriority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ResourceRequirements = bg.ResourceRequirements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TaskQueue = bg.TaskQueue</w:t>
      </w:r>
      <w:r>
        <w:t xml:space="preserve">. Any upstream drift trips a compile error here — that's the §11.4.74 in-place-extension contract.</w:t>
      </w:r>
    </w:p>
    <w:bookmarkEnd w:id="19"/>
    <w:bookmarkStart w:id="20" w:name="Xc925f6104e3064aa96eae96d218f75107b08bd5"/>
    <w:p>
      <w:pPr>
        <w:pStyle w:val="Heading2"/>
      </w:pPr>
      <w:r>
        <w:t xml:space="preserve">§6. The governance dead-letter plane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opens the Postgres pool, it also stands up the</w:t>
      </w:r>
      <w:r>
        <w:t xml:space="preserve"> </w:t>
      </w:r>
      <w:r>
        <w:rPr>
          <w:b/>
          <w:bCs/>
        </w:rPr>
        <w:t xml:space="preserve">full closed-loop</w:t>
      </w:r>
      <w:r>
        <w:t xml:space="preserve"> </w:t>
      </w:r>
      <w:r>
        <w:t xml:space="preserve">dead-letter plane (HRD-147) — previously the boot used a nil emitter, which is an "emit-into-the-void" §107 bluff. The plane has three pieces, wired in</w:t>
      </w:r>
      <w:r>
        <w:t xml:space="preserve"> </w:t>
      </w:r>
      <w:r>
        <w:rPr>
          <w:rStyle w:val="VerbatimChar"/>
        </w:rPr>
        <w:t xml:space="preserve">boot.go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dead_letter_subscriber.go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constitution.NewMemoryBus</w:t>
      </w:r>
      <w:r>
        <w:t xml:space="preserve"> </w:t>
      </w:r>
      <w:r>
        <w:t xml:space="preserve">— the in-process EventBus.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DeadLetterSubscriber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StartDeadLetterSubscriber(bus, sink)</w:t>
      </w:r>
      <w:r>
        <w:t xml:space="preserve">) — owns one drain goroutine that filters</w:t>
      </w:r>
      <w:r>
        <w:t xml:space="preserve"> </w:t>
      </w:r>
      <w:r>
        <w:rPr>
          <w:rStyle w:val="VerbatimChar"/>
        </w:rPr>
        <w:t xml:space="preserve">.queue.dead_letter</w:t>
      </w:r>
      <w:r>
        <w:t xml:space="preserve"> </w:t>
      </w:r>
      <w:r>
        <w:t xml:space="preserve">events (</w:t>
      </w:r>
      <w:r>
        <w:rPr>
          <w:rStyle w:val="VerbatimChar"/>
        </w:rPr>
        <w:t xml:space="preserve">constitution.EventNamespace + "." + constitution.ClassQueueDeadLetter</w:t>
      </w:r>
      <w:r>
        <w:t xml:space="preserve">), decodes each, and records a</w:t>
      </w:r>
      <w:r>
        <w:t xml:space="preserve"> </w:t>
      </w:r>
      <w:r>
        <w:rPr>
          <w:rStyle w:val="VerbatimChar"/>
        </w:rPr>
        <w:t xml:space="preserve">DeadLetterRecord</w:t>
      </w:r>
      <w:r>
        <w:t xml:space="preserve"> </w:t>
      </w:r>
      <w:r>
        <w:t xml:space="preserve">into the sink. Exposes</w:t>
      </w:r>
      <w:r>
        <w:t xml:space="preserve"> </w:t>
      </w:r>
      <w:r>
        <w:rPr>
          <w:rStyle w:val="VerbatimChar"/>
        </w:rPr>
        <w:t xml:space="preserve">Stats() (recorded, decodeErrors int)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constitution.Emitter</w:t>
      </w:r>
      <w:r>
        <w:t xml:space="preserve"> </w:t>
      </w:r>
      <w:r>
        <w:t xml:space="preserve">(source</w:t>
      </w:r>
      <w:r>
        <w:t xml:space="preserve"> </w:t>
      </w:r>
      <w:r>
        <w:rPr>
          <w:rStyle w:val="VerbatimChar"/>
        </w:rPr>
        <w:t xml:space="preserve">digital.vasic.herald/commons_infra</w:t>
      </w:r>
      <w:r>
        <w:t xml:space="preserve">) handed to the repository via</w:t>
      </w:r>
      <w:r>
        <w:t xml:space="preserve"> </w:t>
      </w:r>
      <w:r>
        <w:rPr>
          <w:rStyle w:val="VerbatimChar"/>
        </w:rPr>
        <w:t xml:space="preserve">newPgxTaskRepositoryWithEmitter</w:t>
      </w:r>
      <w:r>
        <w:t xml:space="preserve">, so</w:t>
      </w:r>
      <w:r>
        <w:t xml:space="preserve"> </w:t>
      </w:r>
      <w:r>
        <w:rPr>
          <w:rStyle w:val="VerbatimChar"/>
        </w:rPr>
        <w:t xml:space="preserve">MoveToDeadLetter</w:t>
      </w:r>
      <w:r>
        <w:t xml:space="preserve"> </w:t>
      </w:r>
      <w:r>
        <w:t xml:space="preserve">publishes to a</w:t>
      </w:r>
      <w:r>
        <w:t xml:space="preserve"> </w:t>
      </w:r>
      <w:r>
        <w:rPr>
          <w:b/>
          <w:bCs/>
        </w:rPr>
        <w:t xml:space="preserve">real consumer</w:t>
      </w:r>
      <w:r>
        <w:t xml:space="preserve">, not the void.</w:t>
      </w:r>
    </w:p>
    <w:p>
      <w:pPr>
        <w:pStyle w:val="FirstParagraph"/>
      </w:pPr>
      <w:r>
        <w:t xml:space="preserve">The sink is</w:t>
      </w:r>
      <w:r>
        <w:t xml:space="preserve"> </w:t>
      </w:r>
      <w:r>
        <w:rPr>
          <w:rStyle w:val="VerbatimChar"/>
        </w:rPr>
        <w:t xml:space="preserve">DeadLetterSink</w:t>
      </w:r>
      <w:r>
        <w:t xml:space="preserve"> </w:t>
      </w:r>
      <w:r>
        <w:t xml:space="preserve">(</w:t>
      </w:r>
      <w:r>
        <w:rPr>
          <w:rStyle w:val="VerbatimChar"/>
        </w:rPr>
        <w:t xml:space="preserve">RecordDeadLetter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 append-only). The shipped backend is</w:t>
      </w:r>
      <w:r>
        <w:t xml:space="preserve"> </w:t>
      </w:r>
      <w:r>
        <w:rPr>
          <w:rStyle w:val="VerbatimChar"/>
        </w:rPr>
        <w:t xml:space="preserve">MemoryDeadLetterSink</w:t>
      </w:r>
      <w:r>
        <w:t xml:space="preserve"> </w:t>
      </w:r>
      <w:r>
        <w:t xml:space="preserve">(</w:t>
      </w:r>
      <w:r>
        <w:rPr>
          <w:rStyle w:val="VerbatimChar"/>
        </w:rPr>
        <w:t xml:space="preserve">NewMemoryDeadLetterSink</w:t>
      </w:r>
      <w:r>
        <w:t xml:space="preserve">) — slice-backed, mutex-guarded (safe under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), with a convenience</w:t>
      </w:r>
      <w:r>
        <w:t xml:space="preserve"> </w:t>
      </w:r>
      <w:r>
        <w:rPr>
          <w:rStyle w:val="VerbatimChar"/>
        </w:rPr>
        <w:t xml:space="preserve">Len()</w:t>
      </w:r>
      <w:r>
        <w:t xml:space="preserve">. A</w:t>
      </w:r>
      <w:r>
        <w:t xml:space="preserve"> </w:t>
      </w:r>
      <w:r>
        <w:rPr>
          <w:rStyle w:val="VerbatimChar"/>
        </w:rPr>
        <w:t xml:space="preserve">DeadLetterRecord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FailureCount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RecordedAt</w:t>
      </w:r>
      <w:r>
        <w:t xml:space="preserve">. The M2 swap is a Postgres-backed sink behind the same interface — the subscriber is unchanged when it lands.</w:t>
      </w:r>
    </w:p>
    <w:p>
      <w:pPr>
        <w:pStyle w:val="BodyText"/>
      </w:pPr>
      <w:r>
        <w:t xml:space="preserve">Guard rails: if either the subscriber or the emitter can't be constructed,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falls back to the nil-emitter repository (the move still happens; the audit event is simply not published) rather than failing the whole boot — a dead-letter audit gap must not take down the queue.</w:t>
      </w:r>
      <w:r>
        <w:t xml:space="preserve"> </w:t>
      </w:r>
      <w:r>
        <w:rPr>
          <w:rStyle w:val="VerbatimChar"/>
        </w:rPr>
        <w:t xml:space="preserve">shutdownDeadLetterPlane()</w:t>
      </w:r>
      <w:r>
        <w:t xml:space="preserve"> </w:t>
      </w:r>
      <w:r>
        <w:t xml:space="preserve">(called by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and on partial-boot rollback) is idempotent: it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s the subscriber (joins the goroutine), closes the bus, and clears all three fields.</w:t>
      </w:r>
    </w:p>
    <w:bookmarkEnd w:id="20"/>
    <w:bookmarkStart w:id="21" w:name="X23fed5086bf3b4f1a2b13158efb18543e96d101"/>
    <w:p>
      <w:pPr>
        <w:pStyle w:val="Heading2"/>
      </w:pPr>
      <w:r>
        <w:t xml:space="preserve">§7.</w:t>
      </w:r>
      <w:r>
        <w:t xml:space="preserve"> </w:t>
      </w:r>
      <w:r>
        <w:rPr>
          <w:rStyle w:val="VerbatimChar"/>
        </w:rPr>
        <w:t xml:space="preserve">WithTenantContext</w:t>
      </w:r>
      <w:r>
        <w:t xml:space="preserve"> </w:t>
      </w:r>
      <w:r>
        <w:t xml:space="preserve">— the RLS bridge</w:t>
      </w:r>
    </w:p>
    <w:p>
      <w:pPr>
        <w:pStyle w:val="BlockText"/>
      </w:pPr>
      <w:r>
        <w:rPr>
          <w:b/>
          <w:bCs/>
        </w:rPr>
        <w:t xml:space="preserve">Where it lives.</w:t>
      </w:r>
      <w:r>
        <w:t xml:space="preserve"> </w:t>
      </w:r>
      <w:r>
        <w:rPr>
          <w:rStyle w:val="VerbatimChar"/>
        </w:rPr>
        <w:t xml:space="preserve">WithTenantContext</w:t>
      </w:r>
      <w:r>
        <w:t xml:space="preserve"> </w:t>
      </w:r>
      <w:r>
        <w:t xml:space="preserve">is defined in</w:t>
      </w:r>
      <w:r>
        <w:t xml:space="preserve"> </w:t>
      </w:r>
      <w:r>
        <w:rPr>
          <w:rStyle w:val="VerbatimChar"/>
          <w:b/>
          <w:bCs/>
        </w:rPr>
        <w:t xml:space="preserve">commons_storage/postgres.go</w:t>
      </w:r>
      <w:r>
        <w:t xml:space="preserve">, not in</w:t>
      </w:r>
      <w:r>
        <w:t xml:space="preserve"> </w:t>
      </w:r>
      <w:r>
        <w:rPr>
          <w:rStyle w:val="VerbatimChar"/>
        </w:rPr>
        <w:t xml:space="preserve">commons_infra</w:t>
      </w:r>
      <w:r>
        <w:t xml:space="preserve">. It is documented here because the pool</w:t>
      </w:r>
      <w:r>
        <w:t xml:space="preserve"> </w:t>
      </w:r>
      <w:r>
        <w:rPr>
          <w:rStyle w:val="VerbatimChar"/>
        </w:rPr>
        <w:t xml:space="preserve">commons_infra.Up</w:t>
      </w:r>
      <w:r>
        <w:t xml:space="preserve"> </w:t>
      </w:r>
      <w:r>
        <w:t xml:space="preserve">opens (and exposes via</w:t>
      </w:r>
      <w:r>
        <w:t xml:space="preserve"> </w:t>
      </w:r>
      <w:r>
        <w:rPr>
          <w:rStyle w:val="VerbatimChar"/>
        </w:rPr>
        <w:t xml:space="preserve">Pool()</w:t>
      </w:r>
      <w:r>
        <w:t xml:space="preserve">) is exactly the</w:t>
      </w:r>
      <w:r>
        <w:t xml:space="preserve"> </w:t>
      </w:r>
      <w:r>
        <w:rPr>
          <w:rStyle w:val="VerbatimChar"/>
        </w:rPr>
        <w:t xml:space="preserve">database.Database</w:t>
      </w:r>
      <w:r>
        <w:t xml:space="preserve"> </w:t>
      </w:r>
      <w:r>
        <w:t xml:space="preserve">you pass into it —</w:t>
      </w:r>
      <w:r>
        <w:t xml:space="preserve"> </w:t>
      </w:r>
      <w:r>
        <w:rPr>
          <w:rStyle w:val="VerbatimChar"/>
        </w:rPr>
        <w:t xml:space="preserve">commons_infra</w:t>
      </w:r>
      <w:r>
        <w:t xml:space="preserve"> </w:t>
      </w:r>
      <w:r>
        <w:t xml:space="preserve">is the layer that produces the RLS-ready pool,</w:t>
      </w:r>
      <w:r>
        <w:t xml:space="preserve"> </w:t>
      </w:r>
      <w:r>
        <w:rPr>
          <w:rStyle w:val="VerbatimChar"/>
        </w:rPr>
        <w:t xml:space="preserve">commons_storage</w:t>
      </w:r>
      <w:r>
        <w:t xml:space="preserve"> </w:t>
      </w:r>
      <w:r>
        <w:t xml:space="preserve">is the layer that scopes it per tenant.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WithTenantContext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database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</w:p>
    <w:p>
      <w:pPr>
        <w:pStyle w:val="FirstParagraph"/>
      </w:pPr>
      <w:r>
        <w:rPr>
          <w:rStyle w:val="VerbatimChar"/>
        </w:rPr>
        <w:t xml:space="preserve">WithTenantContext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fn</w:t>
      </w:r>
      <w:r>
        <w:t xml:space="preserve"> </w:t>
      </w:r>
      <w:r>
        <w:t xml:space="preserve">inside a single transaction with two</w:t>
      </w:r>
      <w:r>
        <w:t xml:space="preserve"> </w:t>
      </w:r>
      <w:r>
        <w:rPr>
          <w:rStyle w:val="VerbatimChar"/>
        </w:rPr>
        <w:t xml:space="preserve">SET LOCAL</w:t>
      </w:r>
      <w:r>
        <w:t xml:space="preserve">s pre-applied (per spec §16 + §44.6):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SET LOCAL ROLE herald_app</w:t>
      </w:r>
      <w:r>
        <w:t xml:space="preserve"> </w:t>
      </w:r>
      <w:r>
        <w:t xml:space="preserve">— the load-bearing step. The bootstrap</w:t>
      </w:r>
      <w:r>
        <w:t xml:space="preserve"> </w:t>
      </w:r>
      <w:r>
        <w:rPr>
          <w:rStyle w:val="VerbatimChar"/>
        </w:rPr>
        <w:t xml:space="preserve">POSTGRES_USER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herald</w:t>
      </w:r>
      <w:r>
        <w:t xml:space="preserve"> </w:t>
      </w:r>
      <w:r>
        <w:t xml:space="preserve">role the pool authenticated as) is typically SUPERUSER, which</w:t>
      </w:r>
      <w:r>
        <w:t xml:space="preserve"> </w:t>
      </w:r>
      <w:r>
        <w:rPr>
          <w:b/>
          <w:bCs/>
        </w:rPr>
        <w:t xml:space="preserve">bypasses RLS regardless of FORCE ROW LEVEL SECURITY</w:t>
      </w:r>
      <w:r>
        <w:t xml:space="preserve">.</w:t>
      </w:r>
      <w:r>
        <w:t xml:space="preserve"> </w:t>
      </w:r>
      <w:r>
        <w:rPr>
          <w:rStyle w:val="VerbatimChar"/>
        </w:rPr>
        <w:t xml:space="preserve">herald_app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NOBYPASSRLS</w:t>
      </w:r>
      <w:r>
        <w:t xml:space="preserve"> </w:t>
      </w:r>
      <w:r>
        <w:t xml:space="preserve">(migration 000001) and holds CRUD grants on all multi-tenant tables (migration 000008). Without this downgrade, tenant-isolation tests would PASS while production was wide open — the exact §107 E14 bluff discovered 2026-05-20.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SET LOCAL app.tenant_id = '&lt;uuid&gt;'</w:t>
      </w:r>
      <w:r>
        <w:t xml:space="preserve"> </w:t>
      </w:r>
      <w:r>
        <w:t xml:space="preserve">— the GUC the RLS policies read. Inlined (not parameterised) because</w:t>
      </w:r>
      <w:r>
        <w:t xml:space="preserve"> </w:t>
      </w:r>
      <w:r>
        <w:rPr>
          <w:rStyle w:val="VerbatimChar"/>
        </w:rPr>
        <w:t xml:space="preserve">SET LOCAL</w:t>
      </w:r>
      <w:r>
        <w:t xml:space="preserve"> </w:t>
      </w:r>
      <w:r>
        <w:t xml:space="preserve">rejects bind parameters;</w:t>
      </w:r>
      <w:r>
        <w:t xml:space="preserve"> </w:t>
      </w:r>
      <w:r>
        <w:rPr>
          <w:rStyle w:val="VerbatimChar"/>
        </w:rPr>
        <w:t xml:space="preserve">uuid.UUID.String()</w:t>
      </w:r>
      <w:r>
        <w:t xml:space="preserve"> </w:t>
      </w:r>
      <w:r>
        <w:t xml:space="preserve">constrains the format so injection isn't possible.</w:t>
      </w:r>
    </w:p>
    <w:p>
      <w:pPr>
        <w:pStyle w:val="FirstParagraph"/>
      </w:pPr>
      <w:r>
        <w:t xml:space="preserve">It commits if</w:t>
      </w:r>
      <w:r>
        <w:t xml:space="preserve"> </w:t>
      </w:r>
      <w:r>
        <w:rPr>
          <w:rStyle w:val="VerbatimChar"/>
        </w:rPr>
        <w:t xml:space="preserve">fn</w:t>
      </w:r>
      <w:r>
        <w:t xml:space="preserve"> </w:t>
      </w:r>
      <w:r>
        <w:t xml:space="preserve">returns nil, rolls back otherwise (deferred rollback guard), and surfaces a commit error.</w:t>
      </w:r>
      <w:r>
        <w:t xml:space="preserve"> </w:t>
      </w:r>
      <w:r>
        <w:rPr>
          <w:rStyle w:val="VerbatimChar"/>
        </w:rPr>
        <w:t xml:space="preserve">SET LOCAL</w:t>
      </w:r>
      <w:r>
        <w:t xml:space="preserve"> </w:t>
      </w:r>
      <w:r>
        <w:t xml:space="preserve">is transaction-scoped, so the role + tenant context cleanly evaporate at commit/rollback. The round-trip proof lives in</w:t>
      </w:r>
      <w:r>
        <w:t xml:space="preserve"> </w:t>
      </w:r>
      <w:r>
        <w:rPr>
          <w:rStyle w:val="VerbatimChar"/>
        </w:rPr>
        <w:t xml:space="preserve">commons_storage/storage_integration_test.go</w:t>
      </w:r>
      <w:r>
        <w:t xml:space="preserve"> </w:t>
      </w:r>
      <w:r>
        <w:t xml:space="preserve">(the E14 RLS test, which runs against the very pool</w:t>
      </w:r>
      <w:r>
        <w:t xml:space="preserve"> </w:t>
      </w:r>
      <w:r>
        <w:rPr>
          <w:rStyle w:val="VerbatimChar"/>
        </w:rPr>
        <w:t xml:space="preserve">commons_infra</w:t>
      </w:r>
      <w:r>
        <w:t xml:space="preserve"> </w:t>
      </w:r>
      <w:r>
        <w:t xml:space="preserve">boots).</w:t>
      </w:r>
    </w:p>
    <w:bookmarkEnd w:id="21"/>
    <w:bookmarkStart w:id="22" w:name="X0f1206cdedb8337bfe602bb5ccfcb361f7696bf"/>
    <w:p>
      <w:pPr>
        <w:pStyle w:val="Heading2"/>
      </w:pPr>
      <w:r>
        <w:t xml:space="preserve">§8. How Foundation tests and</w:t>
      </w:r>
      <w:r>
        <w:t xml:space="preserve"> </w:t>
      </w:r>
      <w:r>
        <w:rPr>
          <w:rStyle w:val="VerbatimChar"/>
        </w:rPr>
        <w:t xml:space="preserve">pherald doctor</w:t>
      </w:r>
      <w:r>
        <w:t xml:space="preserve"> </w:t>
      </w:r>
      <w:r>
        <w:t xml:space="preserve">consume it</w:t>
      </w:r>
    </w:p>
    <w:p>
      <w:pPr>
        <w:pStyle w:val="FirstParagraph"/>
      </w:pPr>
      <w:r>
        <w:rPr>
          <w:b/>
          <w:bCs/>
        </w:rPr>
        <w:t xml:space="preserve">Foundation tests (live today).</w:t>
      </w:r>
      <w:r>
        <w:t xml:space="preserve"> </w:t>
      </w:r>
      <w:r>
        <w:t xml:space="preserve">The canonical consumer pattern is a</w:t>
      </w:r>
      <w:r>
        <w:t xml:space="preserve"> </w:t>
      </w:r>
      <w:r>
        <w:rPr>
          <w:rStyle w:val="VerbatimChar"/>
        </w:rPr>
        <w:t xml:space="preserve">TestMain</w:t>
      </w:r>
      <w:r>
        <w:t xml:space="preserve"> </w:t>
      </w:r>
      <w:r>
        <w:t xml:space="preserve">that boots once for the whole package, per the package doc: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TestMain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NewQuickstartBoot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Integration tests across the workspace consume it this way — e.g.</w:t>
      </w:r>
      <w:r>
        <w:t xml:space="preserve"> </w:t>
      </w:r>
      <w:r>
        <w:rPr>
          <w:rStyle w:val="VerbatimChar"/>
        </w:rPr>
        <w:t xml:space="preserve">commons_infra/boot_integration_test.go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clients_integration_test.go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task_repository_integration_test.go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dead_letter_integration_test.go</w:t>
      </w:r>
      <w:r>
        <w:t xml:space="preserve"> </w:t>
      </w:r>
      <w:r>
        <w:t xml:space="preserve">(+ its stress/chaos sibling), and</w:t>
      </w:r>
      <w:r>
        <w:t xml:space="preserve"> </w:t>
      </w:r>
      <w:r>
        <w:rPr>
          <w:rStyle w:val="VerbatimChar"/>
        </w:rPr>
        <w:t xml:space="preserve">commons_storage/storage_integration_test.go</w:t>
      </w:r>
      <w:r>
        <w:t xml:space="preserve"> </w:t>
      </w:r>
      <w:r>
        <w:t xml:space="preserve">(the RLS proof of §7). They follow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with a real reachability check (</w:t>
      </w:r>
      <w:r>
        <w:rPr>
          <w:rStyle w:val="VerbatimChar"/>
        </w:rPr>
        <w:t xml:space="preserve">Status()</w:t>
      </w:r>
      <w:r>
        <w:t xml:space="preserve"> </w:t>
      </w:r>
      <w:r>
        <w:t xml:space="preserve">/ a TCP/</w:t>
      </w:r>
      <w:r>
        <w:rPr>
          <w:rStyle w:val="VerbatimChar"/>
        </w:rPr>
        <w:t xml:space="preserve">SELECT 1</w:t>
      </w:r>
      <w:r>
        <w:t xml:space="preserve"> </w:t>
      </w:r>
      <w:r>
        <w:t xml:space="preserve">probe / the</w:t>
      </w:r>
      <w:r>
        <w:t xml:space="preserve"> </w:t>
      </w:r>
      <w:r>
        <w:rPr>
          <w:rStyle w:val="VerbatimChar"/>
        </w:rPr>
        <w:t xml:space="preserve">WaitHealthy</w:t>
      </w:r>
      <w:r>
        <w:t xml:space="preserve">-style poll) before trusting the infra — the §11.4.76 anti-bluff requirement.</w:t>
      </w:r>
    </w:p>
    <w:p>
      <w:pPr>
        <w:pStyle w:val="BodyText"/>
      </w:pPr>
      <w:r>
        <w:rPr>
          <w:rStyle w:val="VerbatimChar"/>
          <w:b/>
          <w:bCs/>
        </w:rPr>
        <w:t xml:space="preserve">pherald doctor</w:t>
      </w:r>
      <w:r>
        <w:rPr>
          <w:b/>
          <w:bCs/>
        </w:rPr>
        <w:t xml:space="preserve"> </w:t>
      </w:r>
      <w:r>
        <w:rPr>
          <w:b/>
          <w:bCs/>
        </w:rPr>
        <w:t xml:space="preserve">(documented-intended).</w:t>
      </w:r>
      <w:r>
        <w:t xml:space="preserve"> </w:t>
      </w:r>
      <w:r>
        <w:t xml:space="preserve">The package doc and Herald's CLAUDE.md describe</w:t>
      </w:r>
      <w:r>
        <w:t xml:space="preserve"> </w:t>
      </w:r>
      <w:r>
        <w:rPr>
          <w:rStyle w:val="VerbatimChar"/>
        </w:rPr>
        <w:t xml:space="preserve">pherald doctor</w:t>
      </w:r>
      <w:r>
        <w:t xml:space="preserve"> </w:t>
      </w:r>
      <w:r>
        <w:t xml:space="preserve">as the operator-facing consumer that brings Postgres + Redis + OTel up on-demand and reports per-service health via</w:t>
      </w:r>
      <w:r>
        <w:t xml:space="preserve"> </w:t>
      </w:r>
      <w:r>
        <w:rPr>
          <w:rStyle w:val="VerbatimChar"/>
        </w:rPr>
        <w:t xml:space="preserve">Status()</w:t>
      </w:r>
      <w:r>
        <w:t xml:space="preserve">. As of this revision the wiring lives in the boot facade; the dedicated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subcommand is intended work, so treat the Foundation-test path above as the load-bearing live consumer and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as the operator entry point it backs.</w:t>
      </w:r>
    </w:p>
    <w:bookmarkEnd w:id="22"/>
    <w:bookmarkStart w:id="26" w:name="X504d0b6f0108f25b6278bf4993b13f44faf53db"/>
    <w:p>
      <w:pPr>
        <w:pStyle w:val="Heading2"/>
      </w:pPr>
      <w:r>
        <w:t xml:space="preserve">§9. Usage examples</w:t>
      </w:r>
    </w:p>
    <w:bookmarkStart w:id="23" w:name="Xcc661a45fde0b7d8bf330de9c4bfa04b35b1a44"/>
    <w:p>
      <w:pPr>
        <w:pStyle w:val="Heading3"/>
      </w:pPr>
      <w:r>
        <w:t xml:space="preserve">§9.1 Boot everything, use the pool under a tenant scope</w:t>
      </w:r>
    </w:p>
    <w:p>
      <w:pPr>
        <w:pStyle w:val="SourceCode"/>
      </w:pPr>
      <w:r>
        <w:rPr>
          <w:rStyle w:val="NormalTok"/>
        </w:rPr>
        <w:t xml:space="preserve">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NewQuickstartBoot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{})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 compose runtime — install podman/docker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boot failed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errors.Is(err, infra.ErrNotBooted) — abort, do NOT PASS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Tenant-scoped write under RLS (WithTenantContext lives in commons_storage):</w:t>
      </w:r>
      <w:r>
        <w:br/>
      </w:r>
      <w:r>
        <w:rPr>
          <w:rStyle w:val="NormalTok"/>
        </w:rPr>
        <w:t xml:space="preserve">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WithTenantContext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... VALUES ($1)"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</w:t>
      </w:r>
      <w:r>
        <w:br/>
      </w:r>
      <w:r>
        <w:rPr>
          <w:rStyle w:val="OperatorTok"/>
        </w:rPr>
        <w:t xml:space="preserve">})</w:t>
      </w:r>
    </w:p>
    <w:bookmarkEnd w:id="23"/>
    <w:bookmarkStart w:id="24" w:name="X1e44fc877570c9e80a40efd98c1fcda5ec7a5b3"/>
    <w:p>
      <w:pPr>
        <w:pStyle w:val="Heading3"/>
      </w:pPr>
      <w:r>
        <w:t xml:space="preserve">§9.2 Boot only Redis (subset)</w:t>
      </w:r>
    </w:p>
    <w:p>
      <w:pPr>
        <w:pStyle w:val="SourceCode"/>
      </w:pPr>
      <w:r>
        <w:rPr>
          <w:rStyle w:val="NormalTok"/>
        </w:rPr>
        <w:t xml:space="preserve">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NewQuickstartBoot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"redis"</w:t>
      </w:r>
      <w:r>
        <w:rPr>
          <w:rStyle w:val="OperatorTok"/>
        </w:rPr>
        <w:t xml:space="preserve">}})</w:t>
      </w:r>
      <w:r>
        <w:br/>
      </w: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Pool()/Queue() return ErrNotBooted — Postgres wasn't requested</w:t>
      </w:r>
    </w:p>
    <w:bookmarkEnd w:id="24"/>
    <w:bookmarkStart w:id="25" w:name="X148fb23f3ef3e7933c711f3b7d399e4f68071b8"/>
    <w:p>
      <w:pPr>
        <w:pStyle w:val="Heading3"/>
      </w:pPr>
      <w:r>
        <w:t xml:space="preserve">§9.3 Inspect the dead-letter audit trail</w:t>
      </w:r>
    </w:p>
    <w:p>
      <w:pPr>
        <w:pStyle w:val="SourceCode"/>
      </w:pPr>
      <w:r>
        <w:rPr>
          <w:rStyle w:val="NormalTok"/>
        </w:rPr>
        <w:t xml:space="preserve">sink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DeadLetterSink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ErrNotBooted if no Postgres pool was opened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records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sink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every recorded .queue.dead_letter occurrence, oldest-first</w:t>
      </w:r>
      <w:r>
        <w:br/>
      </w:r>
      <w:r>
        <w:rPr>
          <w:rStyle w:val="OperatorTok"/>
        </w:rPr>
        <w:t xml:space="preserve">}</w:t>
      </w:r>
    </w:p>
    <w:bookmarkEnd w:id="25"/>
    <w:bookmarkEnd w:id="26"/>
    <w:bookmarkStart w:id="27" w:name="X3b4c3db7819ed66f453f0c9b146c43e80460b49"/>
    <w:p>
      <w:pPr>
        <w:pStyle w:val="Heading2"/>
      </w:pPr>
      <w:r>
        <w:t xml:space="preserve">§10. References</w:t>
      </w:r>
    </w:p>
    <w:p>
      <w:pPr>
        <w:pStyle w:val="Compact"/>
        <w:numPr>
          <w:ilvl w:val="0"/>
          <w:numId w:val="1006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commons_infra/boot.go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task_repository.go</w:t>
      </w:r>
      <w:r>
        <w:t xml:space="preserve">,</w:t>
      </w:r>
      <w:r>
        <w:t xml:space="preserve"> </w:t>
      </w:r>
      <w:r>
        <w:rPr>
          <w:rStyle w:val="VerbatimChar"/>
        </w:rPr>
        <w:t xml:space="preserve">dead_letter_subscriber.go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Containers submodule:</w:t>
      </w:r>
      <w:r>
        <w:t xml:space="preserve"> </w:t>
      </w:r>
      <w:r>
        <w:rPr>
          <w:rStyle w:val="VerbatimChar"/>
        </w:rPr>
        <w:t xml:space="preserve">digital.vasic.containers</w:t>
      </w:r>
      <w:r>
        <w:t xml:space="preserve"> </w:t>
      </w:r>
      <w:r>
        <w:t xml:space="preserve">(</w:t>
      </w:r>
      <w:r>
        <w:rPr>
          <w:rStyle w:val="VerbatimChar"/>
        </w:rPr>
        <w:t xml:space="preserve">pkg/compose</w:t>
      </w:r>
      <w:r>
        <w:t xml:space="preserve"> </w:t>
      </w:r>
      <w:r>
        <w:t xml:space="preserve">orchestrator +</w:t>
      </w:r>
      <w:r>
        <w:t xml:space="preserve"> </w:t>
      </w:r>
      <w:r>
        <w:rPr>
          <w:rStyle w:val="VerbatimChar"/>
        </w:rPr>
        <w:t xml:space="preserve">pkg/logging</w:t>
      </w:r>
      <w:r>
        <w:t xml:space="preserve">) — runtime auto-detection + on-demand boot/lifecycle/health. Imported via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/</w:t>
      </w:r>
      <w:r>
        <w:rPr>
          <w:rStyle w:val="VerbatimChar"/>
        </w:rPr>
        <w:t xml:space="preserve">containers/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Compose file:</w:t>
      </w:r>
      <w:r>
        <w:t xml:space="preserve"> </w:t>
      </w:r>
      <w:r>
        <w:rPr>
          <w:rStyle w:val="VerbatimChar"/>
        </w:rPr>
        <w:t xml:space="preserve">quickstart/docker-compose.quickstart.yml</w:t>
      </w:r>
      <w:r>
        <w:t xml:space="preserve"> </w:t>
      </w:r>
      <w:r>
        <w:t xml:space="preserve">(the §26.5 5-minute operator quickstart — container names + the 24XXX host ports in §3).</w:t>
      </w:r>
    </w:p>
    <w:p>
      <w:pPr>
        <w:pStyle w:val="Compact"/>
        <w:numPr>
          <w:ilvl w:val="0"/>
          <w:numId w:val="1006"/>
        </w:numPr>
      </w:pPr>
      <w:r>
        <w:t xml:space="preserve">Storage layer:</w:t>
      </w:r>
      <w:r>
        <w:t xml:space="preserve"> </w:t>
      </w:r>
      <w:r>
        <w:rPr>
          <w:rStyle w:val="VerbatimChar"/>
        </w:rPr>
        <w:t xml:space="preserve">commons_storage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ConfigForHerald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RunMigrations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WithTenantContext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commons_storage/postgres.go</w:t>
      </w:r>
      <w:r>
        <w:t xml:space="preserve">, §7).</w:t>
      </w:r>
    </w:p>
    <w:p>
      <w:pPr>
        <w:pStyle w:val="Compact"/>
        <w:numPr>
          <w:ilvl w:val="0"/>
          <w:numId w:val="1006"/>
        </w:numPr>
      </w:pPr>
      <w:r>
        <w:t xml:space="preserve">Migrations:</w:t>
      </w:r>
      <w:r>
        <w:t xml:space="preserve"> </w:t>
      </w:r>
      <w:r>
        <w:rPr>
          <w:rStyle w:val="VerbatimChar"/>
        </w:rPr>
        <w:t xml:space="preserve">commons_storage/migrations/000009_background_tasks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000013_task_resource_snapshots</w:t>
      </w:r>
      <w:r>
        <w:t xml:space="preserve">,</w:t>
      </w:r>
      <w:r>
        <w:t xml:space="preserve"> </w:t>
      </w:r>
      <w:r>
        <w:rPr>
          <w:rStyle w:val="VerbatimChar"/>
        </w:rPr>
        <w:t xml:space="preserve">000014_dead_letter_tasks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Spec: V4 §26.5 (operator quickstart), §44 (Foundation implementation contract), §16 + §44.6 (RLS / tenant context), §9.4 (reserved 24XXX host-port range).</w:t>
      </w:r>
    </w:p>
    <w:p>
      <w:pPr>
        <w:pStyle w:val="Compact"/>
        <w:numPr>
          <w:ilvl w:val="0"/>
          <w:numId w:val="1006"/>
        </w:numPr>
      </w:pPr>
      <w:r>
        <w:t xml:space="preserve">Constitution: Universal §11.4.76 (containers-submodule mandate), §11.4.74 (extend-don't-reimplement), §107 / §11.4.5 (anti-bluff captured-evidence).</w:t>
      </w:r>
    </w:p>
    <w:p>
      <w:pPr>
        <w:pStyle w:val="Compact"/>
        <w:numPr>
          <w:ilvl w:val="0"/>
          <w:numId w:val="1006"/>
        </w:numPr>
      </w:pPr>
      <w:r>
        <w:t xml:space="preserve">Related guides:</w:t>
      </w:r>
      <w:r>
        <w:t xml:space="preserve"> </w:t>
      </w:r>
      <w:r>
        <w:rPr>
          <w:rStyle w:val="VerbatimChar"/>
        </w:rPr>
        <w:t xml:space="preserve">docs/guides/COMMONS_WATCH.md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docs/guides/COMMONS_WORKABLE.md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docs/guides/OPERATOR_CREDENTIALS.md</w:t>
      </w:r>
      <w:r>
        <w:t xml:space="preserve">.</w:t>
      </w:r>
    </w:p>
    <w:bookmarkEnd w:id="27"/>
    <w:bookmarkStart w:id="28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This guide documents internal Herald source only; no external service/library online documentation was relied on. All behavioural claims — the</w:t>
      </w:r>
      <w:r>
        <w:t xml:space="preserve"> </w:t>
      </w:r>
      <w:r>
        <w:rPr>
          <w:rStyle w:val="VerbatimChar"/>
        </w:rPr>
        <w:t xml:space="preserve">Up</w:t>
      </w:r>
      <w:r>
        <w:t xml:space="preserve">/</w:t>
      </w:r>
      <w:r>
        <w:rPr>
          <w:rStyle w:val="VerbatimChar"/>
        </w:rPr>
        <w:t xml:space="preserve">Down</w:t>
      </w:r>
      <w:r>
        <w:t xml:space="preserve">/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lifecycle, the</w:t>
      </w:r>
      <w:r>
        <w:t xml:space="preserve"> </w:t>
      </w:r>
      <w:r>
        <w:rPr>
          <w:rStyle w:val="VerbatimChar"/>
        </w:rPr>
        <w:t xml:space="preserve">ErrNotBooted</w:t>
      </w:r>
      <w:r>
        <w:t xml:space="preserve"> </w:t>
      </w:r>
      <w:r>
        <w:t xml:space="preserve">getter contract, the 19</w:t>
      </w:r>
      <w:r>
        <w:t xml:space="preserve"> </w:t>
      </w:r>
      <w:r>
        <w:rPr>
          <w:rStyle w:val="VerbatimChar"/>
        </w:rPr>
        <w:t xml:space="preserve">pgxTaskRepository</w:t>
      </w:r>
      <w:r>
        <w:t xml:space="preserve"> </w:t>
      </w:r>
      <w:r>
        <w:t xml:space="preserve">methods, the dead-letter plane wiring, and</w:t>
      </w:r>
      <w:r>
        <w:t xml:space="preserve"> </w:t>
      </w:r>
      <w:r>
        <w:rPr>
          <w:rStyle w:val="VerbatimChar"/>
        </w:rPr>
        <w:t xml:space="preserve">WithTenantContext</w:t>
      </w:r>
      <w:r>
        <w:t xml:space="preserve"> </w:t>
      </w:r>
      <w:r>
        <w:t xml:space="preserve">— are grounded in the cited source files read on 2026-05-31. Container names + host ports (</w:t>
      </w:r>
      <w:r>
        <w:rPr>
          <w:rStyle w:val="VerbatimChar"/>
        </w:rPr>
        <w:t xml:space="preserve">herald-postgres</w:t>
      </w:r>
      <w:r>
        <w:t xml:space="preserve"> </w:t>
      </w:r>
      <w:r>
        <w:rPr>
          <w:rStyle w:val="VerbatimChar"/>
        </w:rPr>
        <w:t xml:space="preserve">24100</w:t>
      </w:r>
      <w:r>
        <w:t xml:space="preserve">,</w:t>
      </w:r>
      <w:r>
        <w:t xml:space="preserve"> </w:t>
      </w:r>
      <w:r>
        <w:rPr>
          <w:rStyle w:val="VerbatimChar"/>
        </w:rPr>
        <w:t xml:space="preserve">herald-redis</w:t>
      </w:r>
      <w:r>
        <w:t xml:space="preserve"> </w:t>
      </w:r>
      <w:r>
        <w:rPr>
          <w:rStyle w:val="VerbatimChar"/>
        </w:rPr>
        <w:t xml:space="preserve">24200</w:t>
      </w:r>
      <w:r>
        <w:t xml:space="preserve">,</w:t>
      </w:r>
      <w:r>
        <w:t xml:space="preserve"> </w:t>
      </w:r>
      <w:r>
        <w:rPr>
          <w:rStyle w:val="VerbatimChar"/>
        </w:rPr>
        <w:t xml:space="preserve">herald-otel</w:t>
      </w:r>
      <w:r>
        <w:t xml:space="preserve"> </w:t>
      </w:r>
      <w:r>
        <w:rPr>
          <w:rStyle w:val="VerbatimChar"/>
        </w:rPr>
        <w:t xml:space="preserve">24417</w:t>
      </w:r>
      <w:r>
        <w:t xml:space="preserve">/</w:t>
      </w:r>
      <w:r>
        <w:rPr>
          <w:rStyle w:val="VerbatimChar"/>
        </w:rPr>
        <w:t xml:space="preserve">24418</w:t>
      </w:r>
      <w:r>
        <w:t xml:space="preserve">,</w:t>
      </w:r>
      <w:r>
        <w:t xml:space="preserve"> </w:t>
      </w:r>
      <w:r>
        <w:rPr>
          <w:rStyle w:val="VerbatimChar"/>
        </w:rPr>
        <w:t xml:space="preserve">herald-pherald</w:t>
      </w:r>
      <w:r>
        <w:t xml:space="preserve"> </w:t>
      </w:r>
      <w:r>
        <w:rPr>
          <w:rStyle w:val="VerbatimChar"/>
        </w:rPr>
        <w:t xml:space="preserve">24090</w:t>
      </w:r>
      <w:r>
        <w:t xml:space="preserve">/</w:t>
      </w:r>
      <w:r>
        <w:rPr>
          <w:rStyle w:val="VerbatimChar"/>
        </w:rPr>
        <w:t xml:space="preserve">24091</w:t>
      </w:r>
      <w:r>
        <w:t xml:space="preserve">) are transcribed verbatim from</w:t>
      </w:r>
      <w:r>
        <w:t xml:space="preserve"> </w:t>
      </w:r>
      <w:r>
        <w:rPr>
          <w:rStyle w:val="VerbatimChar"/>
        </w:rPr>
        <w:t xml:space="preserve">quickstart/docker-compose.quickstart.yml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Verified 2026-05-31:</w:t>
      </w:r>
      <w:r>
        <w:t xml:space="preserve"> </w:t>
      </w:r>
      <w:r>
        <w:t xml:space="preserve">internal doc — no external online sources. Re-verify on a</w:t>
      </w:r>
      <w:r>
        <w:t xml:space="preserve"> </w:t>
      </w:r>
      <w:r>
        <w:rPr>
          <w:rStyle w:val="VerbatimChar"/>
        </w:rPr>
        <w:t xml:space="preserve">digital.vasic.containers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digital.vasic.background</w:t>
      </w:r>
      <w:r>
        <w:t xml:space="preserve"> </w:t>
      </w:r>
      <w:r>
        <w:t xml:space="preserve">API change, a compose-file port/container-name change, or when the</w:t>
      </w:r>
      <w:r>
        <w:t xml:space="preserve"> </w:t>
      </w:r>
      <w:r>
        <w:rPr>
          <w:rStyle w:val="VerbatimChar"/>
        </w:rPr>
        <w:t xml:space="preserve">pherald doctor</w:t>
      </w:r>
      <w:r>
        <w:t xml:space="preserve"> </w:t>
      </w:r>
      <w:r>
        <w:t xml:space="preserve">subcommand and the M2 Postgres-backed</w:t>
      </w:r>
      <w:r>
        <w:t xml:space="preserve"> </w:t>
      </w:r>
      <w:r>
        <w:rPr>
          <w:rStyle w:val="VerbatimChar"/>
        </w:rPr>
        <w:t xml:space="preserve">DeadLetterSink</w:t>
      </w:r>
      <w:r>
        <w:t xml:space="preserve"> </w:t>
      </w:r>
      <w:r>
        <w:t xml:space="preserve">land.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2026-05-31T11:11:10Z</dcterms:created>
  <dcterms:modified xsi:type="dcterms:W3CDTF">2026-05-31T11:11:10Z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