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8" w:name="X179ddd63d52d7fe0635e8cb8877070b7732a2fe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commons_storage</w:t>
            </w:r>
            <w:r>
              <w:t xml:space="preserve"> </w:t>
            </w:r>
            <w:r>
              <w:t xml:space="preserve">— Herald's L1 storage layer (spec V4 §10): the Postgres connection wrapper (pgx pool via</w:t>
            </w:r>
            <w:r>
              <w:t xml:space="preserve"> </w:t>
            </w:r>
            <w:r>
              <w:rPr>
                <w:rStyle w:val="VerbatimChar"/>
              </w:rPr>
              <w:t xml:space="preserve">digital.vasic.database</w:t>
            </w:r>
            <w:r>
              <w:t xml:space="preserve">), the</w:t>
            </w:r>
            <w:r>
              <w:t xml:space="preserve"> </w:t>
            </w:r>
            <w:r>
              <w:rPr>
                <w:rStyle w:val="VerbatimChar"/>
              </w:rPr>
              <w:t xml:space="preserve">WithTenantContext</w:t>
            </w:r>
            <w:r>
              <w:t xml:space="preserve"> </w:t>
            </w:r>
            <w:r>
              <w:t xml:space="preserve">RLS /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tenant-isolation helper (carrying the E14 falsifiability lesson), the 15 embedded SQL migrations (</w:t>
            </w:r>
            <w:r>
              <w:rPr>
                <w:rStyle w:val="VerbatimChar"/>
              </w:rPr>
              <w:t xml:space="preserve">000001</w:t>
            </w:r>
            <w:r>
              <w:t xml:space="preserve">..</w:t>
            </w:r>
            <w:r>
              <w:rPr>
                <w:rStyle w:val="VerbatimChar"/>
              </w:rPr>
              <w:t xml:space="preserve">000015</w:t>
            </w:r>
            <w:r>
              <w:t xml:space="preserve">) bundled via</w:t>
            </w:r>
            <w:r>
              <w:t xml:space="preserve"> </w:t>
            </w:r>
            <w:r>
              <w:rPr>
                <w:rStyle w:val="VerbatimChar"/>
              </w:rPr>
              <w:t xml:space="preserve">//go:embed migrations/*.sql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pherald migrate up/status/down/validate</w:t>
            </w:r>
            <w:r>
              <w:t xml:space="preserve"> </w:t>
            </w:r>
            <w:r>
              <w:t xml:space="preserve">CLI, and how the Postgres-backed background task queue + Redis client are wired one layer up in</w:t>
            </w:r>
            <w:r>
              <w:t xml:space="preserve"> </w:t>
            </w:r>
            <w:r>
              <w:rPr>
                <w:rStyle w:val="VerbatimChar"/>
              </w:rPr>
              <w:t xml:space="preserve">commons_infra</w:t>
            </w:r>
            <w:r>
              <w:t xml:space="preserve">. ANTI-BLUFF: every section documents only what the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commons_storage/</w:t>
            </w:r>
            <w:r>
              <w:t xml:space="preserve"> </w:t>
            </w:r>
            <w:r>
              <w:t xml:space="preserve">(plus the</w:t>
            </w:r>
            <w:r>
              <w:t xml:space="preserve"> </w:t>
            </w:r>
            <w:r>
              <w:rPr>
                <w:rStyle w:val="VerbatimChar"/>
              </w:rPr>
              <w:t xml:space="preserve">commons_infra</w:t>
            </w:r>
            <w:r>
              <w:t xml:space="preserve"> </w:t>
            </w:r>
            <w:r>
              <w:t xml:space="preserve">boot seam) actually does as of this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</w:t>
            </w:r>
            <w:r>
              <w:t xml:space="preserve"> </w:t>
            </w:r>
            <w:r>
              <w:rPr>
                <w:rStyle w:val="VerbatimChar"/>
              </w:rPr>
              <w:t xml:space="preserve">pherald migrate 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graduate from honest-501 stubs to live implementations, when the upstream</w:t>
            </w:r>
            <w:r>
              <w:t xml:space="preserve"> </w:t>
            </w:r>
            <w:r>
              <w:rPr>
                <w:rStyle w:val="VerbatimChar"/>
              </w:rPr>
              <w:t xml:space="preserve">pkg/migration</w:t>
            </w:r>
            <w:r>
              <w:t xml:space="preserve"> </w:t>
            </w:r>
            <w:r>
              <w:t xml:space="preserve">placeholder fix (HRD-082) lets</w:t>
            </w:r>
            <w:r>
              <w:t xml:space="preserve"> </w:t>
            </w:r>
            <w:r>
              <w:rPr>
                <w:rStyle w:val="VerbatimChar"/>
              </w:rPr>
              <w:t xml:space="preserve">RunMigrations</w:t>
            </w:r>
            <w:r>
              <w:t xml:space="preserve"> </w:t>
            </w:r>
            <w:r>
              <w:t xml:space="preserve">collapse back to a one-line</w:t>
            </w:r>
            <w:r>
              <w:t xml:space="preserve"> </w:t>
            </w:r>
            <w:r>
              <w:rPr>
                <w:rStyle w:val="VerbatimChar"/>
              </w:rPr>
              <w:t xml:space="preserve">runner.Apply()</w:t>
            </w:r>
            <w:r>
              <w:t xml:space="preserve">, and when the</w:t>
            </w:r>
            <w:r>
              <w:t xml:space="preserve"> </w:t>
            </w:r>
            <w:r>
              <w:rPr>
                <w:rStyle w:val="VerbatimChar"/>
              </w:rPr>
              <w:t xml:space="preserve">commons_storage/go.mod</w:t>
            </w:r>
            <w:r>
              <w:t xml:space="preserve">-internal River/Redis wiring referenced in the</w:t>
            </w:r>
            <w:r>
              <w:t xml:space="preserve"> </w:t>
            </w:r>
            <w:r>
              <w:rPr>
                <w:rStyle w:val="VerbatimChar"/>
              </w:rPr>
              <w:t xml:space="preserve">storage.go</w:t>
            </w:r>
            <w:r>
              <w:t xml:space="preserve"> </w:t>
            </w:r>
            <w:r>
              <w:t xml:space="preserve">package doc actually lands inside this module (today it lives in</w:t>
            </w:r>
            <w:r>
              <w:t xml:space="preserve"> </w:t>
            </w:r>
            <w:r>
              <w:rPr>
                <w:rStyle w:val="VerbatimChar"/>
              </w:rPr>
              <w:t xml:space="preserve">commons_infra</w:t>
            </w:r>
            <w:r>
              <w:t xml:space="preserve">).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8cf87b702a1e22a5268f09ee23029e0b1064f6f">
        <w:r>
          <w:rPr>
            <w:rStyle w:val="Hyperlink"/>
          </w:rPr>
          <w:t xml:space="preserve">§2. The Postgres connection wrapper</w:t>
        </w:r>
      </w:hyperlink>
    </w:p>
    <w:p>
      <w:pPr>
        <w:pStyle w:val="Compact"/>
        <w:numPr>
          <w:ilvl w:val="0"/>
          <w:numId w:val="1001"/>
        </w:numPr>
      </w:pPr>
      <w:hyperlink w:anchor="X59d249f9f8bfa2cb274682cc2a4b62a2e3c6c9a">
        <w:r>
          <w:rPr>
            <w:rStyle w:val="Hyperlink"/>
          </w:rPr>
          <w:t xml:space="preserve">§3. Tenant isolation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WithTenantContext</w:t>
        </w:r>
        <w:r>
          <w:rPr>
            <w:rStyle w:val="Hyperlink"/>
          </w:rPr>
          <w:t xml:space="preserve">, RLS, and the E14 lesson</w:t>
        </w:r>
      </w:hyperlink>
    </w:p>
    <w:p>
      <w:pPr>
        <w:pStyle w:val="Compact"/>
        <w:numPr>
          <w:ilvl w:val="0"/>
          <w:numId w:val="1001"/>
        </w:numPr>
      </w:pPr>
      <w:hyperlink w:anchor="X1f101383f007a0d3bc2fceb4a3acc829060afbe">
        <w:r>
          <w:rPr>
            <w:rStyle w:val="Hyperlink"/>
          </w:rPr>
          <w:t xml:space="preserve">§4. Embedded migrations —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//go:embed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bundle</w:t>
        </w:r>
      </w:hyperlink>
    </w:p>
    <w:p>
      <w:pPr>
        <w:pStyle w:val="Compact"/>
        <w:numPr>
          <w:ilvl w:val="0"/>
          <w:numId w:val="1001"/>
        </w:numPr>
      </w:pPr>
      <w:hyperlink w:anchor="X066eae32cf54122a5e3f76a30eb9aaa62923339">
        <w:r>
          <w:rPr>
            <w:rStyle w:val="Hyperlink"/>
          </w:rPr>
          <w:t xml:space="preserve">§5. The migration runner</w:t>
        </w:r>
      </w:hyperlink>
    </w:p>
    <w:p>
      <w:pPr>
        <w:pStyle w:val="Compact"/>
        <w:numPr>
          <w:ilvl w:val="0"/>
          <w:numId w:val="1001"/>
        </w:numPr>
      </w:pPr>
      <w:hyperlink w:anchor="Xc8621d6d9308ddaa6c825193c79a96b9432d8b6">
        <w:r>
          <w:rPr>
            <w:rStyle w:val="Hyperlink"/>
          </w:rPr>
          <w:t xml:space="preserve">§6.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pherald migrate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</w:t>
        </w:r>
      </w:hyperlink>
    </w:p>
    <w:p>
      <w:pPr>
        <w:pStyle w:val="Compact"/>
        <w:numPr>
          <w:ilvl w:val="0"/>
          <w:numId w:val="1001"/>
        </w:numPr>
      </w:pPr>
      <w:hyperlink w:anchor="Xb4d359dd0fc0c65547610f72b70021c6bbc3126">
        <w:r>
          <w:rPr>
            <w:rStyle w:val="Hyperlink"/>
          </w:rPr>
          <w:t xml:space="preserve">§7. The background task queue + Redis (wired in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commons_infra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ab92d0b46459f86e131c97150a0364cf800ee07">
        <w:r>
          <w:rPr>
            <w:rStyle w:val="Hyperlink"/>
          </w:rPr>
          <w:t xml:space="preserve">§8. 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f3a45a0c972d01bbd1ee8b7aface91daa8e97b1">
        <w:r>
          <w:rPr>
            <w:rStyle w:val="Hyperlink"/>
          </w:rPr>
          <w:t xml:space="preserve">§9. How flavors consume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commons_storage</w:t>
        </w:r>
      </w:hyperlink>
    </w:p>
    <w:p>
      <w:pPr>
        <w:pStyle w:val="Compact"/>
        <w:numPr>
          <w:ilvl w:val="0"/>
          <w:numId w:val="1001"/>
        </w:numPr>
      </w:pPr>
      <w:hyperlink w:anchor="Xf5f5f02b2db9288f10993baef955424cb396605">
        <w:r>
          <w:rPr>
            <w:rStyle w:val="Hyperlink"/>
          </w:rPr>
          <w:t xml:space="preserve">§10. Operator migrations runbook</w:t>
        </w:r>
      </w:hyperlink>
    </w:p>
    <w:p>
      <w:pPr>
        <w:pStyle w:val="Compact"/>
        <w:numPr>
          <w:ilvl w:val="0"/>
          <w:numId w:val="1001"/>
        </w:numPr>
      </w:pPr>
      <w:hyperlink w:anchor="Xec4f1ccca62745376ac0dbfb65a3ee1dc65a919">
        <w:r>
          <w:rPr>
            <w:rStyle w:val="Hyperlink"/>
          </w:rPr>
          <w:t xml:space="preserve">§11. Troubleshooting</w:t>
        </w:r>
      </w:hyperlink>
    </w:p>
    <w:p>
      <w:pPr>
        <w:pStyle w:val="Compact"/>
        <w:numPr>
          <w:ilvl w:val="0"/>
          <w:numId w:val="1001"/>
        </w:numPr>
      </w:pPr>
      <w:hyperlink w:anchor="Xc1bc401cd8daf2da041760b5d65fc7fe604939e">
        <w:r>
          <w:rPr>
            <w:rStyle w:val="Hyperlink"/>
          </w:rPr>
          <w:t xml:space="preserve">§12. Testing notes</w:t>
        </w:r>
      </w:hyperlink>
    </w:p>
    <w:p>
      <w:pPr>
        <w:pStyle w:val="Compact"/>
        <w:numPr>
          <w:ilvl w:val="0"/>
          <w:numId w:val="1001"/>
        </w:numPr>
      </w:pPr>
      <w:hyperlink w:anchor="X8241e2c2f4870e183c18f4839d5b00887fbb26d">
        <w:r>
          <w:rPr>
            <w:rStyle w:val="Hyperlink"/>
          </w:rPr>
          <w:t xml:space="preserve">§13.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commons_storage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github.com/vasic-digital/herald/commons_storage</w:t>
      </w:r>
      <w:r>
        <w:t xml:space="preserve">) is Herald's</w:t>
      </w:r>
      <w:r>
        <w:t xml:space="preserve"> </w:t>
      </w:r>
      <w:r>
        <w:rPr>
          <w:b/>
          <w:bCs/>
        </w:rPr>
        <w:t xml:space="preserve">L1 storage layer</w:t>
      </w:r>
      <w:r>
        <w:t xml:space="preserve"> </w:t>
      </w:r>
      <w:r>
        <w:t xml:space="preserve">per spec V4 §10. Its package doc (top of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) states its scope verbatim:</w:t>
      </w:r>
    </w:p>
    <w:p>
      <w:pPr>
        <w:pStyle w:val="BlockText"/>
      </w:pPr>
      <w:r>
        <w:t xml:space="preserve">Package storage is Herald's L1 storage layer (commons_storage) per spec V3 §10. It owns the Postgres connection wrapper, RLS context helpers, embedded migrations, and Redis tenant-namespacing client.</w:t>
      </w:r>
    </w:p>
    <w:p>
      <w:pPr>
        <w:pStyle w:val="FirstParagraph"/>
      </w:pPr>
      <w:r>
        <w:t xml:space="preserve">In the shipped source it owns three things directly: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Postgres connection wrapper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postgres.go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OpenWithPool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ConfigForHerald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ParseDSN</w:t>
      </w:r>
      <w:r>
        <w:t xml:space="preserve">, thin adapters over</w:t>
      </w:r>
      <w:r>
        <w:t xml:space="preserve"> </w:t>
      </w:r>
      <w:r>
        <w:rPr>
          <w:rStyle w:val="VerbatimChar"/>
        </w:rPr>
        <w:t xml:space="preserve">digital.vasic.database/pkg/postgres</w:t>
      </w:r>
      <w:r>
        <w:t xml:space="preserve"> </w:t>
      </w:r>
      <w:r>
        <w:t xml:space="preserve">(a pgx v5 pool) per the §11.4.74 catalogue-check "extend, don't reimplement" pivot.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RLS tenant-context helper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postgres.go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 </w:t>
      </w:r>
      <w:r>
        <w:rPr>
          <w:rStyle w:val="VerbatimChar"/>
        </w:rPr>
        <w:t xml:space="preserve">SetTenantContext</w:t>
      </w:r>
      <w:r>
        <w:t xml:space="preserve">) — the load-bearing tenant-isolation seam (§3).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embedded SQL migrations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storage.go</w:t>
      </w:r>
      <w:r>
        <w:t xml:space="preserve"> </w:t>
      </w:r>
      <w:r>
        <w:rPr>
          <w:rStyle w:val="VerbatimChar"/>
        </w:rPr>
        <w:t xml:space="preserve">//go:embed migrations/*.sql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migrator.go</w:t>
      </w:r>
      <w:r>
        <w:t xml:space="preserve"> </w:t>
      </w:r>
      <w:r>
        <w:t xml:space="preserve">runner) — 15 files,</w:t>
      </w:r>
      <w:r>
        <w:t xml:space="preserve"> </w:t>
      </w:r>
      <w:r>
        <w:rPr>
          <w:rStyle w:val="VerbatimChar"/>
        </w:rPr>
        <w:t xml:space="preserve">000001</w:t>
      </w:r>
      <w:r>
        <w:t xml:space="preserve">..</w:t>
      </w:r>
      <w:r>
        <w:rPr>
          <w:rStyle w:val="VerbatimChar"/>
        </w:rPr>
        <w:t xml:space="preserve">000015</w:t>
      </w:r>
      <w:r>
        <w:t xml:space="preserve"> </w:t>
      </w:r>
      <w:r>
        <w:t xml:space="preserve">(§4–§5).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River-style background task queue and the Redis client</w:t>
      </w:r>
      <w:r>
        <w:t xml:space="preserve"> </w:t>
      </w:r>
      <w:r>
        <w:t xml:space="preserve">are referenced in the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 </w:t>
      </w:r>
      <w:r>
        <w:t xml:space="preserve">package doc as belonging to this layer, but as of this revision the live wiring lives one layer up in</w:t>
      </w:r>
      <w:r>
        <w:t xml:space="preserve"> </w:t>
      </w:r>
      <w:r>
        <w:rPr>
          <w:rStyle w:val="VerbatimChar"/>
          <w:b/>
          <w:bCs/>
        </w:rPr>
        <w:t xml:space="preserve">commons_infra</w:t>
      </w:r>
      <w:r>
        <w:t xml:space="preserve"> </w:t>
      </w:r>
      <w:r>
        <w:t xml:space="preserve">(</w:t>
      </w:r>
      <w:r>
        <w:rPr>
          <w:rStyle w:val="VerbatimChar"/>
        </w:rPr>
        <w:t xml:space="preserve">boot.go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clients.go</w:t>
      </w:r>
      <w:r>
        <w:t xml:space="preserve">); see §7. The unimplemented</w:t>
      </w:r>
      <w:r>
        <w:t xml:space="preserve"> </w:t>
      </w:r>
      <w:r>
        <w:rPr>
          <w:rStyle w:val="VerbatimChar"/>
        </w:rPr>
        <w:t xml:space="preserve">MigrationDriver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NewMigrationDriver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 </w:t>
      </w:r>
      <w:r>
        <w:t xml:space="preserve">are scaffold stubs (they return</w:t>
      </w:r>
      <w:r>
        <w:t xml:space="preserve"> </w:t>
      </w:r>
      <w:r>
        <w:rPr>
          <w:rStyle w:val="VerbatimChar"/>
        </w:rPr>
        <w:t xml:space="preserve">HRD-010</w:t>
      </w:r>
      <w:r>
        <w:t xml:space="preserve"> </w:t>
      </w:r>
      <w:r>
        <w:t xml:space="preserve">not-implemented errors) —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migration path is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 </w:t>
      </w:r>
      <w:r>
        <w:t xml:space="preserve">(§5), not that interface.</w:t>
      </w:r>
    </w:p>
    <w:p>
      <w:pPr>
        <w:pStyle w:val="BodyText"/>
      </w:pPr>
      <w:r>
        <w:t xml:space="preserve">Key third-party / submodule dependencies (</w:t>
      </w:r>
      <w:r>
        <w:rPr>
          <w:rStyle w:val="VerbatimChar"/>
        </w:rPr>
        <w:t xml:space="preserve">commons_storage/go.mod</w:t>
      </w:r>
      <w:r>
        <w:t xml:space="preserve">):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 </w:t>
      </w:r>
      <w:r>
        <w:t xml:space="preserve">(replaced to</w:t>
      </w:r>
      <w:r>
        <w:t xml:space="preserve"> </w:t>
      </w:r>
      <w:r>
        <w:rPr>
          <w:rStyle w:val="VerbatimChar"/>
        </w:rPr>
        <w:t xml:space="preserve">../submodules/database</w:t>
      </w:r>
      <w:r>
        <w:t xml:space="preserve"> </w:t>
      </w:r>
      <w:r>
        <w:t xml:space="preserve">— the pgx pool + migration runner),</w:t>
      </w:r>
      <w:r>
        <w:t xml:space="preserve"> </w:t>
      </w:r>
      <w:r>
        <w:rPr>
          <w:rStyle w:val="VerbatimChar"/>
        </w:rPr>
        <w:t xml:space="preserve">github.com/jackc/pgx/v5 v5.9.2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github.com/redis/go-redis/v9 v9.7.3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github.com/google/uuid</w:t>
      </w:r>
      <w:r>
        <w:t xml:space="preserve">.</w:t>
      </w:r>
    </w:p>
    <w:bookmarkEnd w:id="10"/>
    <w:bookmarkStart w:id="11" w:name="X8cf87b702a1e22a5268f09ee23029e0b1064f6f"/>
    <w:p>
      <w:pPr>
        <w:pStyle w:val="Heading2"/>
      </w:pPr>
      <w:r>
        <w:t xml:space="preserve">§2. The Postgres connection wrapper</w:t>
      </w:r>
    </w:p>
    <w:p>
      <w:pPr>
        <w:pStyle w:val="FirstParagraph"/>
      </w:pPr>
      <w:r>
        <w:t xml:space="preserve">All four constructors live in</w:t>
      </w:r>
      <w:r>
        <w:t xml:space="preserve"> </w:t>
      </w:r>
      <w:r>
        <w:rPr>
          <w:rStyle w:val="VerbatimChar"/>
        </w:rPr>
        <w:t xml:space="preserve">postgres.go</w:t>
      </w:r>
      <w:r>
        <w:t xml:space="preserve"> </w:t>
      </w:r>
      <w:r>
        <w:t xml:space="preserve">and wrap</w:t>
      </w:r>
      <w:r>
        <w:t xml:space="preserve"> </w:t>
      </w:r>
      <w:r>
        <w:rPr>
          <w:rStyle w:val="VerbatimChar"/>
        </w:rPr>
        <w:t xml:space="preserve">digital.vasic.database/pkg/postgres</w:t>
      </w:r>
      <w:r>
        <w:t xml:space="preserve"> </w:t>
      </w:r>
      <w:r>
        <w:t xml:space="preserve">rather than opening a raw pgx pool 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Open(ctx, cfg *postgres.Config) (db.Database, error)</w:t>
            </w:r>
          </w:p>
        </w:tc>
        <w:tc>
          <w:tcPr/>
          <w:p>
            <w:pPr>
              <w:pStyle w:val="Compact"/>
            </w:pPr>
            <w:r>
              <w:t xml:space="preserve">Connects and returns the universal</w:t>
            </w:r>
            <w:r>
              <w:t xml:space="preserve"> </w:t>
            </w:r>
            <w:r>
              <w:rPr>
                <w:rStyle w:val="VerbatimChar"/>
              </w:rPr>
              <w:t xml:space="preserve">db.Database</w:t>
            </w:r>
            <w:r>
              <w:t xml:space="preserve"> </w:t>
            </w:r>
            <w:r>
              <w:t xml:space="preserve">Helix-stack abstraction. Defaults</w:t>
            </w:r>
            <w:r>
              <w:t xml:space="preserve"> </w:t>
            </w:r>
            <w:r>
              <w:rPr>
                <w:rStyle w:val="VerbatimChar"/>
              </w:rPr>
              <w:t xml:space="preserve">ApplicationName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"herald"</w:t>
            </w:r>
            <w:r>
              <w:t xml:space="preserve"> </w:t>
            </w:r>
            <w:r>
              <w:t xml:space="preserve">when empty. Caller owns</w:t>
            </w:r>
            <w:r>
              <w:t xml:space="preserve"> </w:t>
            </w:r>
            <w:r>
              <w:rPr>
                <w:rStyle w:val="VerbatimChar"/>
              </w:rPr>
              <w:t xml:space="preserve">defer client.Close()</w:t>
            </w:r>
            <w:r>
              <w:t xml:space="preserve">. Errors on</w:t>
            </w:r>
            <w:r>
              <w:t xml:space="preserve"> </w:t>
            </w:r>
            <w:r>
              <w:rPr>
                <w:rStyle w:val="VerbatimChar"/>
              </w:rPr>
              <w:t xml:space="preserve">nil cfg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OpenWithPool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OpenWithPool(ctx, cfg) (db.Database, *pgxpool.Pool, error)</w:t>
            </w:r>
          </w:p>
        </w:tc>
        <w:tc>
          <w:tcPr/>
          <w:p>
            <w:pPr>
              <w:pStyle w:val="Compact"/>
            </w:pPr>
            <w:r>
              <w:t xml:space="preserve">Open's twin that also returns the raw</w:t>
            </w:r>
            <w:r>
              <w:t xml:space="preserve"> </w:t>
            </w:r>
            <w:r>
              <w:rPr>
                <w:rStyle w:val="VerbatimChar"/>
              </w:rPr>
              <w:t xml:space="preserve">*pgxpool.Pool</w:t>
            </w:r>
            <w:r>
              <w:t xml:space="preserve"> </w:t>
            </w:r>
            <w:r>
              <w:t xml:space="preserve">for callers (e.g. the pherald Runner's pg adapters) that drive raw</w:t>
            </w:r>
            <w:r>
              <w:t xml:space="preserve"> </w:t>
            </w:r>
            <w:r>
              <w:rPr>
                <w:rStyle w:val="VerbatimChar"/>
              </w:rPr>
              <w:t xml:space="preserve">pgx.Query</w:t>
            </w:r>
            <w:r>
              <w:t xml:space="preserve">/</w:t>
            </w:r>
            <w:r>
              <w:rPr>
                <w:rStyle w:val="VerbatimChar"/>
              </w:rPr>
              <w:t xml:space="preserve">pgx.Exec</w:t>
            </w:r>
            <w:r>
              <w:t xml:space="preserve">. The pool is</w:t>
            </w:r>
            <w:r>
              <w:t xml:space="preserve"> </w:t>
            </w:r>
            <w:r>
              <w:rPr>
                <w:b/>
                <w:bCs/>
              </w:rPr>
              <w:t xml:space="preserve">owned by the wrapper</w:t>
            </w:r>
            <w:r>
              <w:t xml:space="preserve"> </w:t>
            </w:r>
            <w:r>
              <w:t xml:space="preserve">— callers MUST</w:t>
            </w:r>
            <w:r>
              <w:t xml:space="preserve"> </w:t>
            </w:r>
            <w:r>
              <w:rPr>
                <w:rStyle w:val="VerbatimChar"/>
              </w:rPr>
              <w:t xml:space="preserve">db.Close()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pool.Close()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ConfigForHerald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ConfigForHerald(host, port, user, password, dbName) *postgres.Config</w:t>
            </w:r>
          </w:p>
        </w:tc>
        <w:tc>
          <w:tcPr/>
          <w:p>
            <w:pPr>
              <w:pStyle w:val="Compact"/>
            </w:pPr>
            <w:r>
              <w:t xml:space="preserve">Builds a</w:t>
            </w:r>
            <w:r>
              <w:t xml:space="preserve"> </w:t>
            </w:r>
            <w:r>
              <w:rPr>
                <w:rStyle w:val="VerbatimChar"/>
              </w:rPr>
              <w:t xml:space="preserve">*postgres.Config</w:t>
            </w:r>
            <w:r>
              <w:t xml:space="preserve"> </w:t>
            </w:r>
            <w:r>
              <w:t xml:space="preserve">with Herald-friendly defaults:</w:t>
            </w:r>
            <w:r>
              <w:t xml:space="preserve"> </w:t>
            </w:r>
            <w:r>
              <w:rPr>
                <w:rStyle w:val="VerbatimChar"/>
              </w:rPr>
              <w:t xml:space="preserve">Driver="postgres"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SSLMode="disable"</w:t>
            </w:r>
            <w:r>
              <w:t xml:space="preserve"> </w:t>
            </w:r>
            <w:r>
              <w:t xml:space="preserve">(local-dev),</w:t>
            </w:r>
            <w:r>
              <w:t xml:space="preserve"> </w:t>
            </w:r>
            <w:r>
              <w:rPr>
                <w:rStyle w:val="VerbatimChar"/>
              </w:rPr>
              <w:t xml:space="preserve">ApplicationName="herald"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ParseDSN(dsn string) (*postgres.Config, error)</w:t>
            </w:r>
          </w:p>
        </w:tc>
        <w:tc>
          <w:tcPr/>
          <w:p>
            <w:pPr>
              <w:pStyle w:val="Compact"/>
            </w:pPr>
            <w:r>
              <w:t xml:space="preserve">Converts a</w:t>
            </w:r>
            <w:r>
              <w:t xml:space="preserve"> </w:t>
            </w:r>
            <w:r>
              <w:rPr>
                <w:rStyle w:val="VerbatimChar"/>
              </w:rPr>
              <w:t xml:space="preserve">postgres://user:pass@host:port/dbname[?sslmode=…]</w:t>
            </w:r>
            <w:r>
              <w:t xml:space="preserve"> </w:t>
            </w:r>
            <w:r>
              <w:t xml:space="preserve">URL into the typed config. Default port</w:t>
            </w:r>
            <w:r>
              <w:t xml:space="preserve"> </w:t>
            </w:r>
            <w:r>
              <w:rPr>
                <w:rStyle w:val="VerbatimChar"/>
              </w:rPr>
              <w:t xml:space="preserve">5432</w:t>
            </w:r>
            <w:r>
              <w:t xml:space="preserve">. Only the</w:t>
            </w:r>
            <w:r>
              <w:t xml:space="preserve"> </w:t>
            </w:r>
            <w:r>
              <w:rPr>
                <w:rStyle w:val="VerbatimChar"/>
              </w:rPr>
              <w:t xml:space="preserve">sslmode</w:t>
            </w:r>
            <w:r>
              <w:t xml:space="preserve"> </w:t>
            </w:r>
            <w:r>
              <w:t xml:space="preserve">query parameter is honoured; others are silently ignored by design. Rejects empty DSN, non-</w:t>
            </w:r>
            <w:r>
              <w:rPr>
                <w:rStyle w:val="VerbatimChar"/>
              </w:rPr>
              <w:t xml:space="preserve">postgres(ql)</w:t>
            </w:r>
            <w:r>
              <w:t xml:space="preserve"> </w:t>
            </w:r>
            <w:r>
              <w:t xml:space="preserve">schemes, invalid ports.</w:t>
            </w:r>
          </w:p>
        </w:tc>
      </w:tr>
    </w:tbl>
    <w:p>
      <w:pPr>
        <w:pStyle w:val="BodyText"/>
      </w:pPr>
      <w:r>
        <w:t xml:space="preserve">The Foundation default pool config (documented in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's doc comment) is: max-conns =</w:t>
      </w:r>
      <w:r>
        <w:t xml:space="preserve"> </w:t>
      </w:r>
      <w:r>
        <w:rPr>
          <w:rStyle w:val="VerbatimChar"/>
        </w:rPr>
        <w:t xml:space="preserve">cpu × 4</w:t>
      </w:r>
      <w:r>
        <w:t xml:space="preserve"> </w:t>
      </w:r>
      <w:r>
        <w:t xml:space="preserve">with a floor of 4 / ceiling of 64, statement cache enabled,</w:t>
      </w:r>
      <w:r>
        <w:t xml:space="preserve"> </w:t>
      </w:r>
      <w:r>
        <w:rPr>
          <w:rStyle w:val="VerbatimChar"/>
        </w:rPr>
        <w:t xml:space="preserve">application_name="herald"</w:t>
      </w:r>
      <w:r>
        <w:t xml:space="preserve">. Overrides flow straight through the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argument into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ParseDSN</w:t>
      </w:r>
      <w:r>
        <w:t xml:space="preserve"> </w:t>
      </w:r>
      <w:r>
        <w:t xml:space="preserve">is the bridge that lets operators supply a single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env var instead of five typed knobs — it is exactly what</w:t>
      </w:r>
      <w:r>
        <w:t xml:space="preserve"> </w:t>
      </w:r>
      <w:r>
        <w:rPr>
          <w:rStyle w:val="VerbatimChar"/>
        </w:rPr>
        <w:t xml:space="preserve">pherald migrate</w:t>
      </w:r>
      <w:r>
        <w:t xml:space="preserve"> </w:t>
      </w:r>
      <w:r>
        <w:t xml:space="preserve">consumes (§6).</w:t>
      </w:r>
    </w:p>
    <w:bookmarkEnd w:id="11"/>
    <w:bookmarkStart w:id="16" w:name="X59d249f9f8bfa2cb274682cc2a4b62a2e3c6c9a"/>
    <w:p>
      <w:pPr>
        <w:pStyle w:val="Heading2"/>
      </w:pPr>
      <w:r>
        <w:t xml:space="preserve">§3. Tenant isolation —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, RLS, and the E14 lesson</w:t>
      </w:r>
    </w:p>
    <w:p>
      <w:pPr>
        <w:pStyle w:val="FirstParagraph"/>
      </w:pPr>
      <w:r>
        <w:t xml:space="preserve">This is the load-bearing security seam of the module.</w:t>
      </w:r>
    </w:p>
    <w:bookmarkStart w:id="12" w:name="X03055dd76839bd8700235fcb45abb0971d32f60"/>
    <w:p>
      <w:pPr>
        <w:pStyle w:val="Heading3"/>
      </w:pPr>
      <w:r>
        <w:t xml:space="preserve">§3.1 The model</w:t>
      </w:r>
    </w:p>
    <w:p>
      <w:pPr>
        <w:pStyle w:val="FirstParagraph"/>
      </w:pPr>
      <w:r>
        <w:t xml:space="preserve">Herald is multi-tenant. Every multi-tenant table carries a</w:t>
      </w:r>
      <w:r>
        <w:t xml:space="preserve"> </w:t>
      </w:r>
      <w:r>
        <w:rPr>
          <w:rStyle w:val="VerbatimChar"/>
        </w:rPr>
        <w:t xml:space="preserve">tenant_id UUID</w:t>
      </w:r>
      <w:r>
        <w:t xml:space="preserve"> </w:t>
      </w:r>
      <w:r>
        <w:t xml:space="preserve">column and a PostgreSQL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 </w:t>
      </w:r>
      <w:r>
        <w:t xml:space="preserve">policy of the shape: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       </w:t>
      </w:r>
      <w:r>
        <w:rPr>
          <w:rStyle w:val="CommentTok"/>
        </w:rPr>
        <w:t xml:space="preserve">-- see §3.3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policy keys on the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rPr>
          <w:b/>
          <w:bCs/>
        </w:rPr>
        <w:t xml:space="preserve">GUC</w:t>
      </w:r>
      <w:r>
        <w:t xml:space="preserve"> </w:t>
      </w:r>
      <w:r>
        <w:t xml:space="preserve">(a session/transaction-scoped runtime parameter).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's</w:t>
      </w:r>
      <w:r>
        <w:t xml:space="preserve"> </w:t>
      </w:r>
      <w:r>
        <w:rPr>
          <w:rStyle w:val="VerbatimChar"/>
        </w:rPr>
        <w:t xml:space="preserve">SetTenantContext(tenantID)</w:t>
      </w:r>
      <w:r>
        <w:t xml:space="preserve"> </w:t>
      </w:r>
      <w:r>
        <w:t xml:space="preserve">returns the SQL string</w:t>
      </w:r>
      <w:r>
        <w:t xml:space="preserve"> </w:t>
      </w:r>
      <w:r>
        <w:rPr>
          <w:rStyle w:val="VerbatimChar"/>
        </w:rPr>
        <w:t xml:space="preserve">SET LOCAL app.tenant_id = '&lt;uuid&gt;'</w:t>
      </w:r>
      <w:r>
        <w:t xml:space="preserve">; per spec §16 runtime code MUST run this before any SELECT/INSERT against multi-tenant tables, otherwise the policies fail-closed (zero rows / blocked writes).</w:t>
      </w:r>
    </w:p>
    <w:bookmarkEnd w:id="12"/>
    <w:bookmarkStart w:id="13" w:name="X03d6ff896df032bb38449ce75474a501fbf543b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— the runtime entry point</w:t>
      </w:r>
    </w:p>
    <w:p>
      <w:pPr>
        <w:pStyle w:val="FirstParagraph"/>
      </w:pPr>
      <w:r>
        <w:rPr>
          <w:rStyle w:val="VerbatimChar"/>
        </w:rPr>
        <w:t xml:space="preserve">WithTenantContext(ctx, database, tenantID, fn)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postgres.go</w:t>
      </w:r>
      <w:r>
        <w:t xml:space="preserve">) is the helper every runtime caller uses. Inside one transaction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Begin</w:t>
      </w:r>
      <w:r>
        <w:t xml:space="preserve">s a transaction on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rStyle w:val="VerbatimChar"/>
          <w:b/>
          <w:bCs/>
        </w:rPr>
        <w:t xml:space="preserve">SET LOCAL ROLE herald_app</w:t>
      </w:r>
      <w:r>
        <w:t xml:space="preserve"> </w:t>
      </w:r>
      <w:r>
        <w:t xml:space="preserve">— drops the bootstrap user's superuser privileges down to the</w:t>
      </w:r>
      <w:r>
        <w:t xml:space="preserve"> </w:t>
      </w:r>
      <w:r>
        <w:rPr>
          <w:rStyle w:val="VerbatimChar"/>
        </w:rPr>
        <w:t xml:space="preserve">herald_app</w:t>
      </w:r>
      <w:r>
        <w:t xml:space="preserve"> </w:t>
      </w:r>
      <w:r>
        <w:t xml:space="preserve">role (which is</w:t>
      </w:r>
      <w:r>
        <w:t xml:space="preserve"> </w:t>
      </w:r>
      <w:r>
        <w:rPr>
          <w:rStyle w:val="VerbatimChar"/>
        </w:rPr>
        <w:t xml:space="preserve">NOBYPASSRLS</w:t>
      </w:r>
      <w:r>
        <w:t xml:space="preserve"> </w:t>
      </w:r>
      <w:r>
        <w:t xml:space="preserve">per migration</w:t>
      </w:r>
      <w:r>
        <w:t xml:space="preserve"> </w:t>
      </w:r>
      <w:r>
        <w:rPr>
          <w:rStyle w:val="VerbatimChar"/>
        </w:rPr>
        <w:t xml:space="preserve">000001</w:t>
      </w:r>
      <w:r>
        <w:t xml:space="preserve"> </w:t>
      </w:r>
      <w:r>
        <w:t xml:space="preserve">and holds the CRUD grants from</w:t>
      </w:r>
      <w:r>
        <w:t xml:space="preserve"> </w:t>
      </w:r>
      <w:r>
        <w:rPr>
          <w:rStyle w:val="VerbatimChar"/>
        </w:rPr>
        <w:t xml:space="preserve">000008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SET LOCAL app.tenant_id = '&lt;uuid&gt;'</w:t>
      </w:r>
      <w:r>
        <w:t xml:space="preserve"> </w:t>
      </w:r>
      <w:r>
        <w:t xml:space="preserve">(inline string —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parameters; UUID format is constrained by</w:t>
      </w:r>
      <w:r>
        <w:t xml:space="preserve"> </w:t>
      </w:r>
      <w:r>
        <w:rPr>
          <w:rStyle w:val="VerbatimChar"/>
        </w:rPr>
        <w:t xml:space="preserve">uuid.UUID.String()</w:t>
      </w:r>
      <w:r>
        <w:t xml:space="preserve"> </w:t>
      </w:r>
      <w:r>
        <w:t xml:space="preserve">so injection is impossible).</w:t>
      </w:r>
    </w:p>
    <w:p>
      <w:pPr>
        <w:pStyle w:val="Compact"/>
        <w:numPr>
          <w:ilvl w:val="0"/>
          <w:numId w:val="1003"/>
        </w:numPr>
      </w:pPr>
      <w:r>
        <w:t xml:space="preserve">Invokes</w:t>
      </w:r>
      <w:r>
        <w:t xml:space="preserve"> </w:t>
      </w:r>
      <w:r>
        <w:rPr>
          <w:rStyle w:val="VerbatimChar"/>
        </w:rPr>
        <w:t xml:space="preserve">fn(tx)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Commits if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returns nil, rolls back otherwise. A commit failure is returned.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s are</w:t>
      </w:r>
      <w:r>
        <w:t xml:space="preserve"> </w:t>
      </w:r>
      <w:r>
        <w:rPr>
          <w:b/>
          <w:bCs/>
        </w:rPr>
        <w:t xml:space="preserve">transaction-scoped</w:t>
      </w:r>
      <w:r>
        <w:t xml:space="preserve">, so isolation is automatically reset at commit/rollback and nested transactions each set their own context.</w:t>
      </w:r>
    </w:p>
    <w:bookmarkEnd w:id="13"/>
    <w:bookmarkStart w:id="14" w:name="X5340ec8600041454b1f4868bc2e5cba97a557c9"/>
    <w:p>
      <w:pPr>
        <w:pStyle w:val="Heading3"/>
      </w:pPr>
      <w:r>
        <w:t xml:space="preserve">§3.3 The E14 falsifiability lesson (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 ROLE</w:t>
      </w:r>
      <w:r>
        <w:t xml:space="preserve">)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independent traps that each make tenant isolation a silent bluff, and both are guarded: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Trap A — owner bypass.</w:t>
      </w:r>
      <w:r>
        <w:t xml:space="preserve"> </w:t>
      </w:r>
      <w:r>
        <w:t xml:space="preserve">A table's</w:t>
      </w:r>
      <w:r>
        <w:t xml:space="preserve"> </w:t>
      </w:r>
      <w:r>
        <w:rPr>
          <w:b/>
          <w:bCs/>
        </w:rPr>
        <w:t xml:space="preserve">owner role bypasses RLS by default</w:t>
      </w:r>
      <w:r>
        <w:t xml:space="preserve"> </w:t>
      </w:r>
      <w:r>
        <w:t xml:space="preserve">even with policies defined. The Foundation integration tests connect as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 </w:t>
      </w:r>
      <w:r>
        <w:t xml:space="preserve">(the DB owner per the quickstart compose's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), so without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tenant_isolation</w:t>
      </w:r>
      <w:r>
        <w:t xml:space="preserve"> </w:t>
      </w:r>
      <w:r>
        <w:t xml:space="preserve">policy is silently bypassed. This was caught</w:t>
      </w:r>
      <w:r>
        <w:t xml:space="preserve"> </w:t>
      </w:r>
      <w:r>
        <w:rPr>
          <w:b/>
          <w:bCs/>
        </w:rPr>
        <w:t xml:space="preserve">2026-05-20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TestPostgresStore_RLSTenantIsolation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commons_constitution/postgres_integration_test.go</w:t>
      </w:r>
      <w:r>
        <w:t xml:space="preserve">): tenant B could read tenant A's</w:t>
      </w:r>
      <w:r>
        <w:t xml:space="preserve"> </w:t>
      </w:r>
      <w:r>
        <w:rPr>
          <w:rStyle w:val="VerbatimChar"/>
        </w:rPr>
        <w:t xml:space="preserve">constitution_state</w:t>
      </w:r>
      <w:r>
        <w:t xml:space="preserve"> </w:t>
      </w:r>
      <w:r>
        <w:t xml:space="preserve">row. Migration</w:t>
      </w:r>
      <w:r>
        <w:t xml:space="preserve"> </w:t>
      </w:r>
      <w:r>
        <w:rPr>
          <w:rStyle w:val="VerbatimChar"/>
        </w:rPr>
        <w:t xml:space="preserve">000008_force_rls.up.sql</w:t>
      </w:r>
      <w:r>
        <w:t xml:space="preserve"> </w:t>
      </w:r>
      <w:r>
        <w:t xml:space="preserve">is the fix — it adds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RLS-guarded table created so far and grants</w:t>
      </w:r>
      <w:r>
        <w:t xml:space="preserve"> </w:t>
      </w:r>
      <w:r>
        <w:rPr>
          <w:rStyle w:val="VerbatimChar"/>
        </w:rPr>
        <w:t xml:space="preserve">herald_app</w:t>
      </w:r>
      <w:r>
        <w:t xml:space="preserve"> </w:t>
      </w:r>
      <w:r>
        <w:t xml:space="preserve">the necessary CRUD.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Trap B — superuser bypass (the E14 lesson).</w:t>
      </w:r>
      <w:r>
        <w:t xml:space="preserve"> </w:t>
      </w:r>
      <w:r>
        <w:t xml:space="preserve">Even with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set, a</w:t>
      </w:r>
      <w:r>
        <w:t xml:space="preserve"> </w:t>
      </w:r>
      <w:r>
        <w:rPr>
          <w:b/>
          <w:bCs/>
        </w:rPr>
        <w:t xml:space="preserve">SUPERUSER</w:t>
      </w:r>
      <w:r>
        <w:t xml:space="preserve"> </w:t>
      </w:r>
      <w:r>
        <w:t xml:space="preserve">connection bypasses RLS entirely. The bootstrap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 </w:t>
      </w:r>
      <w:r>
        <w:t xml:space="preserve">(quickstart's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) is typically a superuser. So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's</w:t>
      </w:r>
      <w:r>
        <w:t xml:space="preserve"> </w:t>
      </w:r>
      <w:r>
        <w:rPr>
          <w:rStyle w:val="VerbatimChar"/>
          <w:b/>
          <w:bCs/>
        </w:rPr>
        <w:t xml:space="preserve">SET LOCAL ROLE herald_app</w:t>
      </w:r>
      <w:r>
        <w:t xml:space="preserve"> </w:t>
      </w:r>
      <w:r>
        <w:t xml:space="preserve">step is load-bearing: without it, calls from the bootstrap user bypass RLS regardless of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, and tests asserting tenant isolation would</w:t>
      </w:r>
      <w:r>
        <w:t xml:space="preserve"> </w:t>
      </w:r>
      <w:r>
        <w:rPr>
          <w:b/>
          <w:bCs/>
        </w:rPr>
        <w:t xml:space="preserve">PASS while production was wide open</w:t>
      </w:r>
      <w:r>
        <w:t xml:space="preserve">. This was discovered</w:t>
      </w:r>
      <w:r>
        <w:t xml:space="preserve"> </w:t>
      </w:r>
      <w:r>
        <w:rPr>
          <w:b/>
          <w:bCs/>
        </w:rPr>
        <w:t xml:space="preserve">2026-05-20</w:t>
      </w:r>
      <w:r>
        <w:t xml:space="preserve"> </w:t>
      </w:r>
      <w:r>
        <w:t xml:space="preserve">by the §107</w:t>
      </w:r>
      <w:r>
        <w:t xml:space="preserve"> </w:t>
      </w:r>
      <w:r>
        <w:rPr>
          <w:b/>
          <w:bCs/>
        </w:rPr>
        <w:t xml:space="preserve">E14</w:t>
      </w:r>
      <w:r>
        <w:t xml:space="preserve"> </w:t>
      </w:r>
      <w:r>
        <w:t xml:space="preserve">round-trip test in</w:t>
      </w:r>
      <w:r>
        <w:t xml:space="preserve"> </w:t>
      </w:r>
      <w:r>
        <w:rPr>
          <w:rStyle w:val="VerbatimChar"/>
        </w:rPr>
        <w:t xml:space="preserve">commons_storage/storage_integration_test.go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doc comment records it verbatim as the anti-bluff rationale.</w:t>
      </w:r>
    </w:p>
    <w:p>
      <w:pPr>
        <w:pStyle w:val="BlockText"/>
      </w:pPr>
      <w:r>
        <w:rPr>
          <w:b/>
          <w:bCs/>
        </w:rPr>
        <w:t xml:space="preserve">Operator takeaway.</w:t>
      </w:r>
      <w:r>
        <w:t xml:space="preserve"> </w:t>
      </w:r>
      <w:r>
        <w:t xml:space="preserve">Tenant isolation only holds when BOTH are true: the table has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(every Herald multi-tenant migration sets it) AND the connection runs as the non-superuser</w:t>
      </w:r>
      <w:r>
        <w:t xml:space="preserve"> </w:t>
      </w:r>
      <w:r>
        <w:rPr>
          <w:rStyle w:val="VerbatimChar"/>
        </w:rPr>
        <w:t xml:space="preserve">herald_app</w:t>
      </w:r>
      <w:r>
        <w:t xml:space="preserve"> </w:t>
      </w:r>
      <w:r>
        <w:t xml:space="preserve">role (which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enforces via</w:t>
      </w:r>
      <w:r>
        <w:t xml:space="preserve"> </w:t>
      </w:r>
      <w:r>
        <w:rPr>
          <w:rStyle w:val="VerbatimChar"/>
        </w:rPr>
        <w:t xml:space="preserve">SET LOCAL ROLE</w:t>
      </w:r>
      <w:r>
        <w:t xml:space="preserve">). Bypassing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and querying multi-tenant tables directly as the bootstrap superuser silently disables isolation.</w:t>
      </w:r>
    </w:p>
    <w:bookmarkEnd w:id="14"/>
    <w:bookmarkStart w:id="15" w:name="X73e6e08035e731e1d12bac87411749638b1133d"/>
    <w:p>
      <w:pPr>
        <w:pStyle w:val="Heading3"/>
      </w:pPr>
      <w:r>
        <w:t xml:space="preserve">§3.4 Tables that are deliberately NOT RLS-guarded</w:t>
      </w:r>
    </w:p>
    <w:p>
      <w:pPr>
        <w:pStyle w:val="FirstParagraph"/>
      </w:pPr>
      <w:r>
        <w:rPr>
          <w:rStyle w:val="VerbatimChar"/>
        </w:rPr>
        <w:t xml:space="preserve">background_tasks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background_task_events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task_resource_snapshots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dead_letter_tasks</w:t>
      </w:r>
      <w:r>
        <w:t xml:space="preserve"> </w:t>
      </w:r>
      <w:r>
        <w:t xml:space="preserve">(migrations</w:t>
      </w:r>
      <w:r>
        <w:t xml:space="preserve"> </w:t>
      </w:r>
      <w:r>
        <w:rPr>
          <w:rStyle w:val="VerbatimChar"/>
        </w:rPr>
        <w:t xml:space="preserve">000009</w:t>
      </w:r>
      <w:r>
        <w:t xml:space="preserve">/</w:t>
      </w:r>
      <w:r>
        <w:rPr>
          <w:rStyle w:val="VerbatimChar"/>
        </w:rPr>
        <w:t xml:space="preserve">000013</w:t>
      </w:r>
      <w:r>
        <w:t xml:space="preserve">/</w:t>
      </w:r>
      <w:r>
        <w:rPr>
          <w:rStyle w:val="VerbatimChar"/>
        </w:rPr>
        <w:t xml:space="preserve">000014</w:t>
      </w:r>
      <w:r>
        <w:t xml:space="preserve">) carry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 RLS by design — they are dispatcher-internal queue/monitoring infrastructure. Tenant context lives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task's JSON payload and is enforced one level up by Herald service code that constructs+enqueues the task, not by the queue table. The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tracking table is also un-tenanted (it is global schema metadata).</w:t>
      </w:r>
    </w:p>
    <w:bookmarkEnd w:id="15"/>
    <w:bookmarkEnd w:id="16"/>
    <w:bookmarkStart w:id="17" w:name="X1f101383f007a0d3bc2fceb4a3acc829060afbe"/>
    <w:p>
      <w:pPr>
        <w:pStyle w:val="Heading2"/>
      </w:pPr>
      <w:r>
        <w:t xml:space="preserve">§4. Embedded migrations — the</w:t>
      </w:r>
      <w:r>
        <w:t xml:space="preserve"> </w:t>
      </w:r>
      <w:r>
        <w:rPr>
          <w:rStyle w:val="VerbatimChar"/>
        </w:rPr>
        <w:t xml:space="preserve">//go:embed</w:t>
      </w:r>
      <w:r>
        <w:t xml:space="preserve"> </w:t>
      </w:r>
      <w:r>
        <w:t xml:space="preserve">bundle</w:t>
      </w:r>
    </w:p>
    <w:p>
      <w:pPr>
        <w:pStyle w:val="FirstParagraph"/>
      </w:pPr>
      <w:r>
        <w:rPr>
          <w:rStyle w:val="VerbatimChar"/>
        </w:rPr>
        <w:t xml:space="preserve">storage.go</w:t>
      </w:r>
      <w:r>
        <w:t xml:space="preserve"> </w:t>
      </w:r>
      <w:r>
        <w:t xml:space="preserve">embeds the entire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directory at compile time:</w:t>
      </w:r>
    </w:p>
    <w:p>
      <w:pPr>
        <w:pStyle w:val="SourceCode"/>
      </w:pPr>
      <w:r>
        <w:rPr>
          <w:rStyle w:val="CommentTok"/>
        </w:rPr>
        <w:t xml:space="preserve">//go:embed migrations/*.sql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migrationsFS embed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FS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MigrationsFS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embed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migrationsFS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MigrationsFS()</w:t>
      </w:r>
      <w:r>
        <w:t xml:space="preserve"> </w:t>
      </w:r>
      <w:r>
        <w:t xml:space="preserve">exposes the embedded FS so callers (the runner, a doctor command, a schema dump) can read the canonical SQL without filesystem access — the SQL ships</w:t>
      </w:r>
      <w:r>
        <w:t xml:space="preserve"> </w:t>
      </w:r>
      <w:r>
        <w:rPr>
          <w:b/>
          <w:bCs/>
        </w:rPr>
        <w:t xml:space="preserve">inside the binary</w:t>
      </w:r>
      <w:r>
        <w:t xml:space="preserve">, so a deployed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needs no migration files on disk.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migrations, each a paired</w:t>
      </w:r>
      <w:r>
        <w:t xml:space="preserve"> </w:t>
      </w:r>
      <w:r>
        <w:rPr>
          <w:rStyle w:val="VerbatimChar"/>
        </w:rPr>
        <w:t xml:space="preserve">NNNNNN_&lt;name&gt;.up.sql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.down.sql</w:t>
      </w:r>
      <w:r>
        <w:t xml:space="preserve">. The migration set as of this revision: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File stem</w:t>
            </w:r>
          </w:p>
        </w:tc>
        <w:tc>
          <w:tcPr/>
          <w:p>
            <w:pPr>
              <w:pStyle w:val="Compact"/>
            </w:pPr>
            <w:r>
              <w:t xml:space="preserve">What the</w:t>
            </w:r>
            <w:r>
              <w:t xml:space="preserve"> </w:t>
            </w:r>
            <w:r>
              <w:rPr>
                <w:rStyle w:val="VerbatimChar"/>
              </w:rPr>
              <w:t xml:space="preserve">.up.sql</w:t>
            </w:r>
            <w:r>
              <w:t xml:space="preserve"> </w:t>
            </w: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init_core</w:t>
            </w:r>
          </w:p>
        </w:tc>
        <w:tc>
          <w:tcPr/>
          <w:p>
            <w:pPr>
              <w:pStyle w:val="Compact"/>
            </w:pPr>
            <w:r>
              <w:t xml:space="preserve">Creates the</w:t>
            </w:r>
            <w:r>
              <w:t xml:space="preserve"> </w:t>
            </w:r>
            <w:r>
              <w:rPr>
                <w:rStyle w:val="VerbatimChar"/>
              </w:rPr>
              <w:t xml:space="preserve">herald_migrator</w:t>
            </w:r>
            <w:r>
              <w:t xml:space="preserve"> </w:t>
            </w:r>
            <w:r>
              <w:t xml:space="preserve">(BYPASSRLS) and</w:t>
            </w:r>
            <w:r>
              <w:t xml:space="preserve"> </w:t>
            </w:r>
            <w:r>
              <w:rPr>
                <w:rStyle w:val="VerbatimChar"/>
              </w:rPr>
              <w:t xml:space="preserve">herald_app</w:t>
            </w:r>
            <w:r>
              <w:t xml:space="preserve"> </w:t>
            </w:r>
            <w:r>
              <w:t xml:space="preserve">(NOBYPASSRLS) roles, the</w:t>
            </w:r>
            <w:r>
              <w:t xml:space="preserve"> </w:t>
            </w:r>
            <w:r>
              <w:rPr>
                <w:rStyle w:val="VerbatimChar"/>
              </w:rPr>
              <w:t xml:space="preserve">uuidv7()</w:t>
            </w:r>
            <w:r>
              <w:t xml:space="preserve"> </w:t>
            </w:r>
            <w:r>
              <w:t xml:space="preserve">SQL function (time-ordered PKs — Postgres ≤16 ships none), and the canonical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idempotency_keys</w:t>
            </w:r>
            <w:r>
              <w:t xml:space="preserve"> </w:t>
            </w:r>
            <w:r>
              <w:t xml:space="preserve">(PK</w:t>
            </w:r>
            <w:r>
              <w:t xml:space="preserve"> </w:t>
            </w:r>
            <w:r>
              <w:rPr>
                <w:rStyle w:val="VerbatimChar"/>
              </w:rPr>
              <w:t xml:space="preserve">(tenant_id, idempotency_key)</w:t>
            </w:r>
            <w:r>
              <w:t xml:space="preserve">, 24h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FILLFACTOR=80</w:t>
            </w:r>
            <w:r>
              <w:t xml:space="preserve">) + RLS/FORCE +</w:t>
            </w:r>
            <w:r>
              <w:t xml:space="preserve"> </w:t>
            </w:r>
            <w:r>
              <w:rPr>
                <w:rStyle w:val="VerbatimChar"/>
              </w:rPr>
              <w:t xml:space="preserve">idem_isolation</w:t>
            </w:r>
            <w:r>
              <w:t xml:space="preserve"> </w:t>
            </w:r>
            <w:r>
              <w:t xml:space="preserve">policy. Spec §4.3.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subscribers</w:t>
            </w:r>
            <w:r>
              <w:t xml:space="preserve"> </w:t>
            </w:r>
            <w:r>
              <w:t xml:space="preserve">(logical party:</w:t>
            </w:r>
            <w:r>
              <w:t xml:space="preserve"> </w:t>
            </w:r>
            <w:r>
              <w:rPr>
                <w:rStyle w:val="VerbatimChar"/>
              </w:rPr>
              <w:t xml:space="preserve">handle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 ∈ human/agent/service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subscriber_aliases</w:t>
            </w:r>
            <w:r>
              <w:t xml:space="preserve"> </w:t>
            </w:r>
            <w:r>
              <w:t xml:space="preserve">(per-channel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+</w:t>
            </w:r>
            <w:r>
              <w:rPr>
                <w:rStyle w:val="VerbatimChar"/>
              </w:rPr>
              <w:t xml:space="preserve">channel_user_id</w:t>
            </w:r>
            <w:r>
              <w:t xml:space="preserve">), and</w:t>
            </w:r>
            <w:r>
              <w:t xml:space="preserve"> </w:t>
            </w:r>
            <w:r>
              <w:rPr>
                <w:rStyle w:val="VerbatimChar"/>
              </w:rPr>
              <w:t xml:space="preserve">agent_tokens</w:t>
            </w:r>
            <w:r>
              <w:t xml:space="preserve"> </w:t>
            </w:r>
            <w:r>
              <w:t xml:space="preserve">— all RLS/FORCE. Spec §7.1 + §7.5.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channel_addresses</w:t>
            </w:r>
            <w:r>
              <w:t xml:space="preserve"> </w:t>
            </w:r>
            <w:r>
              <w:t xml:space="preserve">(per-tenant outbound destinations:</w:t>
            </w:r>
            <w:r>
              <w:t xml:space="preserve"> </w:t>
            </w:r>
            <w:r>
              <w:rPr>
                <w:rStyle w:val="VerbatimChar"/>
              </w:rPr>
              <w:t xml:space="preserve">address_url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priority_floor</w:t>
            </w:r>
            <w:r>
              <w:t xml:space="preserve">, health columns) + GIN tag index + RLS/FORCE. Spec §6.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inbound_pipeline</w:t>
            </w:r>
          </w:p>
        </w:tc>
        <w:tc>
          <w:tcPr/>
          <w:p>
            <w:pPr>
              <w:pStyle w:val="Compact"/>
            </w:pPr>
            <w:r>
              <w:t xml:space="preserve">The big atomic inbound bundle:</w:t>
            </w:r>
            <w:r>
              <w:t xml:space="preserve"> </w:t>
            </w:r>
            <w:r>
              <w:rPr>
                <w:rStyle w:val="VerbatimChar"/>
              </w:rPr>
              <w:t xml:space="preserve">webhook_sources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inbound_messages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thread_refs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quarantined_messages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dead_letters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workable_items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outbound_dedup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email_suppressions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report_publications</w:t>
            </w:r>
            <w:r>
              <w:t xml:space="preserve"> </w:t>
            </w:r>
            <w:r>
              <w:t xml:space="preserve">— each RLS/FORCE. Spec §32 + §15.2 + §5.4 + §12 + §8.3 + §35.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constitution_state</w:t>
            </w:r>
            <w:r>
              <w:t xml:space="preserve"> </w:t>
            </w:r>
            <w:r>
              <w:t xml:space="preserve">(per-</w:t>
            </w:r>
            <w:r>
              <w:rPr>
                <w:rStyle w:val="VerbatimChar"/>
              </w:rPr>
              <w:t xml:space="preserve">(tenant,rule,subject)</w:t>
            </w:r>
            <w:r>
              <w:t xml:space="preserve"> </w:t>
            </w:r>
            <w:r>
              <w:t xml:space="preserve">verdict-of-record, UPSERTed by the Runner) + append-only</w:t>
            </w:r>
            <w:r>
              <w:t xml:space="preserve"> </w:t>
            </w:r>
            <w:r>
              <w:rPr>
                <w:rStyle w:val="VerbatimChar"/>
              </w:rPr>
              <w:t xml:space="preserve">constitution_audit</w:t>
            </w:r>
            <w:r>
              <w:t xml:space="preserve"> </w:t>
            </w:r>
            <w:r>
              <w:t xml:space="preserve">(with row-level no-UPDATE / no-DELETE policies). Spec §42.1.2.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constitution_bindings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constitution_bindings</w:t>
            </w:r>
            <w:r>
              <w:t xml:space="preserve"> </w:t>
            </w:r>
            <w:r>
              <w:t xml:space="preserve">(per-tenant per-rule mode ladder:</w:t>
            </w:r>
            <w:r>
              <w:t xml:space="preserve"> </w:t>
            </w:r>
            <w:r>
              <w:rPr>
                <w:rStyle w:val="VerbatimChar"/>
              </w:rPr>
              <w:t xml:space="preserve">0=allow / 1=warn / 2=enforce</w:t>
            </w:r>
            <w:r>
              <w:t xml:space="preserve">) + RLS. Redis-cached at M3 (60s TTL). Spec §42.1.4.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force_rls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to every RLS table created so far + grants</w:t>
            </w:r>
            <w:r>
              <w:t xml:space="preserve"> </w:t>
            </w:r>
            <w:r>
              <w:rPr>
                <w:rStyle w:val="VerbatimChar"/>
              </w:rPr>
              <w:t xml:space="preserve">herald_app</w:t>
            </w:r>
            <w:r>
              <w:t xml:space="preserve"> </w:t>
            </w:r>
            <w:r>
              <w:t xml:space="preserve">CRUD +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. The Trap-A fix (§3.3).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background_tasks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background_task_events</w:t>
            </w:r>
            <w:r>
              <w:t xml:space="preserve"> </w:t>
            </w:r>
            <w:r>
              <w:t xml:space="preserve">backing the upstream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(columns map 1:1 to the</w:t>
            </w:r>
            <w:r>
              <w:t xml:space="preserve"> </w:t>
            </w:r>
            <w:r>
              <w:rPr>
                <w:rStyle w:val="VerbatimChar"/>
              </w:rPr>
              <w:t xml:space="preserve">BackgroundTask</w:t>
            </w:r>
            <w:r>
              <w:t xml:space="preserve"> </w:t>
            </w:r>
            <w:r>
              <w:t xml:space="preserve">struct</w:t>
            </w:r>
            <w:r>
              <w:t xml:space="preserve"> </w:t>
            </w:r>
            <w:r>
              <w:rPr>
                <w:rStyle w:val="VerbatimChar"/>
              </w:rPr>
              <w:t xml:space="preserve">db:</w:t>
            </w:r>
            <w:r>
              <w:t xml:space="preserve"> </w:t>
            </w:r>
            <w:r>
              <w:t xml:space="preserve">tags).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tenant_id/RLS by design (§3.4). HRD-010 Task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outbound_delivery_evidence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outbound_delivery_evidence</w:t>
            </w:r>
            <w:r>
              <w:t xml:space="preserve"> </w:t>
            </w:r>
            <w:r>
              <w:t xml:space="preserve">— per-tenant SEND-time audit trail;</w:t>
            </w:r>
            <w:r>
              <w:t xml:space="preserve"> </w:t>
            </w:r>
            <w:r>
              <w:rPr>
                <w:rStyle w:val="VerbatimChar"/>
              </w:rPr>
              <w:t xml:space="preserve">channel_message_id</w:t>
            </w:r>
            <w:r>
              <w:t xml:space="preserve"> </w:t>
            </w:r>
            <w:r>
              <w:t xml:space="preserve">MUST be the provider-returned ID (Telegram</w:t>
            </w:r>
            <w:r>
              <w:t xml:space="preserve"> </w:t>
            </w:r>
            <w:r>
              <w:rPr>
                <w:rStyle w:val="VerbatimChar"/>
              </w:rPr>
              <w:t xml:space="preserve">message_id</w:t>
            </w:r>
            <w:r>
              <w:t xml:space="preserve">, Slack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), not a Herald UUID (§107 guard). RLS/FORCE. Spec §11.0 + §16.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claude_code_sessions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claude_code_sessions</w:t>
            </w:r>
            <w:r>
              <w:t xml:space="preserve"> </w:t>
            </w:r>
            <w:r>
              <w:t xml:space="preserve">— operator-shared Claude Code session anchor (UUID + path + last dispatch). Uses the fixed</w:t>
            </w:r>
            <w:r>
              <w:t xml:space="preserve"> </w:t>
            </w:r>
            <w:r>
              <w:rPr>
                <w:rStyle w:val="VerbatimChar"/>
              </w:rPr>
              <w:t xml:space="preserve">HeraldSystemTenant</w:t>
            </w:r>
            <w:r>
              <w:t xml:space="preserve"> </w:t>
            </w:r>
            <w:r>
              <w:t xml:space="preserve">UUID so RLS still applies uniformly. Spec §33.2.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events_processed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events_processed</w:t>
            </w:r>
            <w:r>
              <w:t xml:space="preserve"> </w:t>
            </w:r>
            <w:r>
              <w:t xml:space="preserve">— inbound idempotency 30-day archive (Redis SETNX is the hot path; this is the audit/replay tier). RLS keyed on</w:t>
            </w:r>
            <w:r>
              <w:t xml:space="preserve"> </w:t>
            </w:r>
            <w:r>
              <w:rPr>
                <w:rStyle w:val="VerbatimChar"/>
              </w:rPr>
              <w:t xml:space="preserve">app.current_tenant_id</w:t>
            </w:r>
            <w:r>
              <w:t xml:space="preserve">. Spec §32.2.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task_resource_snapshots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task_resource_snapshots</w:t>
            </w:r>
            <w:r>
              <w:t xml:space="preserve"> </w:t>
            </w:r>
            <w:r>
              <w:t xml:space="preserve">— append-only per-task CPU/mem/IO/net/fd time series for the</w:t>
            </w:r>
            <w:r>
              <w:t xml:space="preserve"> </w:t>
            </w:r>
            <w:r>
              <w:rPr>
                <w:rStyle w:val="VerbatimChar"/>
              </w:rPr>
              <w:t xml:space="preserve">ResourceMonitor</w:t>
            </w:r>
            <w:r>
              <w:t xml:space="preserve">. FK→</w:t>
            </w:r>
            <w:r>
              <w:rPr>
                <w:rStyle w:val="VerbatimChar"/>
              </w:rPr>
              <w:t xml:space="preserve">background_tasks</w:t>
            </w:r>
            <w:r>
              <w:t xml:space="preserve"> </w:t>
            </w:r>
            <w:r>
              <w:t xml:space="preserve">ON DELETE CASCADE. No tenant_id/RLS (§3.4). HRD-089.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dead_letter_tasks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dead_letter_tasks</w:t>
            </w:r>
            <w:r>
              <w:t xml:space="preserve"> </w:t>
            </w:r>
            <w:r>
              <w:t xml:space="preserve">— snapshot table for the upstream</w:t>
            </w:r>
            <w:r>
              <w:t xml:space="preserve"> </w:t>
            </w:r>
            <w:r>
              <w:rPr>
                <w:rStyle w:val="VerbatimChar"/>
              </w:rPr>
              <w:t xml:space="preserve">MoveToDeadLetter</w:t>
            </w:r>
            <w:r>
              <w:t xml:space="preserve"> </w:t>
            </w:r>
            <w:r>
              <w:t xml:space="preserve">contract (full JSONB task snapshot for reprocessing). FK→</w:t>
            </w:r>
            <w:r>
              <w:rPr>
                <w:rStyle w:val="VerbatimChar"/>
              </w:rPr>
              <w:t xml:space="preserve">background_tasks</w:t>
            </w:r>
            <w:r>
              <w:t xml:space="preserve"> </w:t>
            </w:r>
            <w:r>
              <w:t xml:space="preserve">ON DELETE CASCADE. No tenant_id/RLS (§3.4). HRD-090.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subscriber_alias_username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subscriber_aliases ADD COLUMN username TEXT</w:t>
            </w:r>
            <w:r>
              <w:t xml:space="preserve"> </w:t>
            </w:r>
            <w:r>
              <w:t xml:space="preserve">+ partial</w:t>
            </w:r>
            <w:r>
              <w:t xml:space="preserve"> </w:t>
            </w:r>
            <w:r>
              <w:rPr>
                <w:rStyle w:val="VerbatimChar"/>
              </w:rPr>
              <w:t xml:space="preserve">(channel, username)</w:t>
            </w:r>
            <w:r>
              <w:t xml:space="preserve"> </w:t>
            </w:r>
            <w:r>
              <w:t xml:space="preserve">index — the per-channel</w:t>
            </w:r>
            <w:r>
              <w:t xml:space="preserve"> </w:t>
            </w:r>
            <w:r>
              <w:rPr>
                <w:rStyle w:val="VerbatimChar"/>
              </w:rPr>
              <w:t xml:space="preserve">@handle</w:t>
            </w:r>
            <w:r>
              <w:t xml:space="preserve"> </w:t>
            </w:r>
            <w:r>
              <w:t xml:space="preserve">for notification @-tagging (distinct from</w:t>
            </w:r>
            <w:r>
              <w:t xml:space="preserve"> </w:t>
            </w:r>
            <w:r>
              <w:rPr>
                <w:rStyle w:val="VerbatimChar"/>
              </w:rPr>
              <w:t xml:space="preserve">channel_user_id</w:t>
            </w:r>
            <w:r>
              <w:t xml:space="preserve">). Inherits RLS via the FK to</w:t>
            </w:r>
            <w:r>
              <w:t xml:space="preserve"> </w:t>
            </w:r>
            <w:r>
              <w:rPr>
                <w:rStyle w:val="VerbatimChar"/>
              </w:rPr>
              <w:t xml:space="preserve">subscribers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docs/design/PARTICIPANT_ATTRIBUTION.md</w:t>
            </w:r>
            <w:r>
              <w:t xml:space="preserve"> </w:t>
            </w:r>
            <w:r>
              <w:t xml:space="preserve">§4d.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the test comment drift.</w:t>
      </w:r>
      <w:r>
        <w:t xml:space="preserve"> </w:t>
      </w:r>
      <w:r>
        <w:rPr>
          <w:rStyle w:val="VerbatimChar"/>
        </w:rPr>
        <w:t xml:space="preserve">migrations_test.go</w:t>
      </w:r>
      <w:r>
        <w:t xml:space="preserve">'s comment says "exactly these 14 migrations" but its</w:t>
      </w:r>
      <w:r>
        <w:t xml:space="preserve"> </w:t>
      </w:r>
      <w:r>
        <w:rPr>
          <w:rStyle w:val="VerbatimChar"/>
        </w:rPr>
        <w:t xml:space="preserve">expectedNames</w:t>
      </w:r>
      <w:r>
        <w:t xml:space="preserve"> </w:t>
      </w:r>
      <w:r>
        <w:t xml:space="preserve">slice already lists all 15 (through</w:t>
      </w:r>
      <w:r>
        <w:t xml:space="preserve"> </w:t>
      </w:r>
      <w:r>
        <w:rPr>
          <w:rStyle w:val="VerbatimChar"/>
        </w:rPr>
        <w:t xml:space="preserve">000015_subscriber_alias_username</w:t>
      </w:r>
      <w:r>
        <w:t xml:space="preserve">). The slice — and the 15 files on disk — are authoritative; the prose comment is stale and worth fixing when that file is next touched.</w:t>
      </w:r>
    </w:p>
    <w:p>
      <w:pPr>
        <w:pStyle w:val="FirstParagraph"/>
      </w:pPr>
      <w:r>
        <w:t xml:space="preserve">Down migrations exist for every up migration so the planned</w:t>
      </w:r>
      <w:r>
        <w:t xml:space="preserve"> </w:t>
      </w:r>
      <w:r>
        <w:rPr>
          <w:rStyle w:val="VerbatimChar"/>
        </w:rPr>
        <w:t xml:space="preserve">migrate down</w:t>
      </w:r>
      <w:r>
        <w:t xml:space="preserve"> </w:t>
      </w:r>
      <w:r>
        <w:t xml:space="preserve">path is safe (§6 / §10).</w:t>
      </w:r>
    </w:p>
    <w:bookmarkEnd w:id="17"/>
    <w:bookmarkStart w:id="18" w:name="X066eae32cf54122a5e3f76a30eb9aaa62923339"/>
    <w:p>
      <w:pPr>
        <w:pStyle w:val="Heading2"/>
      </w:pPr>
      <w:r>
        <w:t xml:space="preserve">§5. The migration runner</w:t>
      </w:r>
    </w:p>
    <w:p>
      <w:pPr>
        <w:pStyle w:val="FirstParagraph"/>
      </w:pPr>
      <w:r>
        <w:rPr>
          <w:rStyle w:val="VerbatimChar"/>
        </w:rPr>
        <w:t xml:space="preserve">migrator.go</w:t>
      </w:r>
      <w:r>
        <w:t xml:space="preserve"> </w:t>
      </w:r>
      <w:r>
        <w:t xml:space="preserve">implements a small, Postgres-native runner.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dependency on</w:t>
      </w:r>
      <w:r>
        <w:t xml:space="preserve"> </w:t>
      </w:r>
      <w:r>
        <w:rPr>
          <w:rStyle w:val="VerbatimChar"/>
        </w:rPr>
        <w:t xml:space="preserve">golang-migrate</w:t>
      </w:r>
      <w:r>
        <w:t xml:space="preserve"> </w:t>
      </w:r>
      <w:r>
        <w:t xml:space="preserve">in the shipped code — the spec (§9.6) names it as the intended tool, but the live runner is hand-rolled (see the HRD-082 note below).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LoadEmbeddedMigrations() ([]migration.Migration, error)</w:t>
            </w:r>
          </w:p>
        </w:tc>
        <w:tc>
          <w:tcPr/>
          <w:p>
            <w:pPr>
              <w:pStyle w:val="Compact"/>
            </w:pPr>
            <w:r>
              <w:t xml:space="preserve">Walks</w:t>
            </w:r>
            <w:r>
              <w:t xml:space="preserve"> </w:t>
            </w:r>
            <w:r>
              <w:rPr>
                <w:rStyle w:val="VerbatimChar"/>
              </w:rPr>
              <w:t xml:space="preserve">migrationsFS</w:t>
            </w:r>
            <w:r>
              <w:t xml:space="preserve">, parses each</w:t>
            </w:r>
            <w:r>
              <w:t xml:space="preserve"> </w:t>
            </w:r>
            <w:r>
              <w:rPr>
                <w:rStyle w:val="VerbatimChar"/>
              </w:rPr>
              <w:t xml:space="preserve">NNNNNN_&lt;name&gt;.{up,down}.sql</w:t>
            </w:r>
            <w:r>
              <w:t xml:space="preserve">, pairs ups with downs by version, and returns them</w:t>
            </w:r>
            <w:r>
              <w:t xml:space="preserve"> </w:t>
            </w:r>
            <w:r>
              <w:rPr>
                <w:b/>
                <w:bCs/>
              </w:rPr>
              <w:t xml:space="preserve">sorted ascending by version</w:t>
            </w:r>
            <w:r>
              <w:t xml:space="preserve">. Skips a</w:t>
            </w:r>
            <w:r>
              <w:t xml:space="preserve"> </w:t>
            </w:r>
            <w:r>
              <w:rPr>
                <w:rStyle w:val="VerbatimChar"/>
              </w:rPr>
              <w:t xml:space="preserve">.down.sql</w:t>
            </w:r>
            <w:r>
              <w:t xml:space="preserve"> </w:t>
            </w:r>
            <w:r>
              <w:t xml:space="preserve">with no matching</w:t>
            </w:r>
            <w:r>
              <w:t xml:space="preserve"> </w:t>
            </w:r>
            <w:r>
              <w:rPr>
                <w:rStyle w:val="VerbatimChar"/>
              </w:rPr>
              <w:t xml:space="preserve">.up.sql</w:t>
            </w:r>
            <w:r>
              <w:t xml:space="preserve">. Errors on a filename lacking the</w:t>
            </w:r>
            <w:r>
              <w:t xml:space="preserve"> </w:t>
            </w:r>
            <w:r>
              <w:rPr>
                <w:rStyle w:val="VerbatimChar"/>
              </w:rPr>
              <w:t xml:space="preserve">.up/.down</w:t>
            </w:r>
            <w:r>
              <w:t xml:space="preserve"> </w:t>
            </w:r>
            <w:r>
              <w:t xml:space="preserve">suffix or the</w:t>
            </w:r>
            <w:r>
              <w:t xml:space="preserve"> </w:t>
            </w:r>
            <w:r>
              <w:rPr>
                <w:rStyle w:val="VerbatimChar"/>
              </w:rPr>
              <w:t xml:space="preserve">NNN_</w:t>
            </w:r>
            <w:r>
              <w:t xml:space="preserve"> </w:t>
            </w:r>
            <w:r>
              <w:t xml:space="preserve">prefix.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RunMigrations(ctx, database) ([]int, error)</w:t>
            </w:r>
          </w:p>
        </w:tc>
        <w:tc>
          <w:tcPr/>
          <w:p>
            <w:pPr>
              <w:pStyle w:val="Compact"/>
            </w:pPr>
            <w:r>
              <w:t xml:space="preserve">Loads the bundle, inits the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  <w:r>
              <w:t xml:space="preserve"> </w:t>
            </w:r>
            <w:r>
              <w:t xml:space="preserve">tracking table (</w:t>
            </w:r>
            <w:r>
              <w:rPr>
                <w:rStyle w:val="VerbatimChar"/>
              </w:rPr>
              <w:t xml:space="preserve">migration.NewRunner(database, "schema_migrations").Init</w:t>
            </w:r>
            <w:r>
              <w:t xml:space="preserve">), reads already-applied versions, and applies each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migration in its own transaction via</w:t>
            </w:r>
            <w:r>
              <w:t xml:space="preserve"> </w:t>
            </w:r>
            <w:r>
              <w:rPr>
                <w:rStyle w:val="VerbatimChar"/>
              </w:rPr>
              <w:t xml:space="preserve">applyMigration</w:t>
            </w:r>
            <w:r>
              <w:t xml:space="preserve">. Returns the versions applied</w:t>
            </w:r>
            <w:r>
              <w:t xml:space="preserve"> </w:t>
            </w:r>
            <w:r>
              <w:rPr>
                <w:b/>
                <w:bCs/>
              </w:rPr>
              <w:t xml:space="preserve">this run</w:t>
            </w:r>
            <w:r>
              <w:t xml:space="preserve"> </w:t>
            </w:r>
            <w:r>
              <w:t xml:space="preserve">(already-applied ones are skipped — idempotent).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applyMigration(ctx, database, m)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m.Up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INSERT INTO schema_migrations (version, name, applied_at) VALUES ($1,$2,$3)</w:t>
            </w:r>
            <w:r>
              <w:t xml:space="preserve"> </w:t>
            </w:r>
            <w:r>
              <w:t xml:space="preserve">in one transaction; commits on success, rolls back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CurrentVersion(ctx, database) (int, 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COALESCE(MAX(version),0) FROM schema_migrations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on a fresh DB where the tracking table does not yet exist (translates SQLSTATE</w:t>
            </w:r>
            <w:r>
              <w:t xml:space="preserve"> </w:t>
            </w:r>
            <w:r>
              <w:rPr>
                <w:rStyle w:val="VerbatimChar"/>
              </w:rPr>
              <w:t xml:space="preserve">42P01</w:t>
            </w:r>
            <w:r>
              <w:t xml:space="preserve"> </w:t>
            </w:r>
            <w:r>
              <w:t xml:space="preserve">undefined_table →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rather than surfacing a confusing error). Drives</w:t>
            </w:r>
            <w:r>
              <w:t xml:space="preserve"> </w:t>
            </w:r>
            <w:r>
              <w:rPr>
                <w:rStyle w:val="VerbatimChar"/>
              </w:rPr>
              <w:t xml:space="preserve">pherald migrate status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a hand-rolled runner (HRD-082).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 </w:t>
      </w:r>
      <w:r>
        <w:t xml:space="preserve">is a Postgres-native re-implementation because the upstream</w:t>
      </w:r>
      <w:r>
        <w:t xml:space="preserve"> </w:t>
      </w:r>
      <w:r>
        <w:rPr>
          <w:rStyle w:val="VerbatimChar"/>
        </w:rPr>
        <w:t xml:space="preserve">digital.vasic.database/pkg/migration</w:t>
      </w:r>
      <w:r>
        <w:t xml:space="preserve"> </w:t>
      </w:r>
      <w:r>
        <w:t xml:space="preserve">v0 uses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 in its INSERT (a SQLite/MySQL convention) which pgx rejects. The doc comment tracks this as</w:t>
      </w:r>
      <w:r>
        <w:t xml:space="preserve"> </w:t>
      </w:r>
      <w:r>
        <w:rPr>
          <w:b/>
          <w:bCs/>
        </w:rPr>
        <w:t xml:space="preserve">HRD-082</w:t>
      </w:r>
      <w:r>
        <w:t xml:space="preserve">: once the submodule emits pg-native</w:t>
      </w:r>
      <w:r>
        <w:t xml:space="preserve"> </w:t>
      </w:r>
      <w:r>
        <w:rPr>
          <w:rStyle w:val="VerbatimChar"/>
        </w:rPr>
        <w:t xml:space="preserve">$N</w:t>
      </w:r>
      <w:r>
        <w:t xml:space="preserve"> </w:t>
      </w:r>
      <w:r>
        <w:t xml:space="preserve">placeholders, this re-implementation collapses back into a one-line</w:t>
      </w:r>
      <w:r>
        <w:t xml:space="preserve"> </w:t>
      </w:r>
      <w:r>
        <w:rPr>
          <w:rStyle w:val="VerbatimChar"/>
        </w:rPr>
        <w:t xml:space="preserve">runner.Apply()</w:t>
      </w:r>
      <w:r>
        <w:t xml:space="preserve">.</w:t>
      </w:r>
    </w:p>
    <w:p>
      <w:pPr>
        <w:pStyle w:val="FirstParagraph"/>
      </w:pPr>
      <w:r>
        <w:t xml:space="preserve">The tracking table is always named</w:t>
      </w:r>
      <w:r>
        <w:t xml:space="preserve"> </w:t>
      </w:r>
      <w:r>
        <w:rPr>
          <w:rStyle w:val="VerbatimChar"/>
          <w:b/>
          <w:bCs/>
        </w:rPr>
        <w:t xml:space="preserve">schema_migrations</w:t>
      </w:r>
      <w:r>
        <w:t xml:space="preserve">.</w:t>
      </w:r>
    </w:p>
    <w:bookmarkEnd w:id="18"/>
    <w:bookmarkStart w:id="19" w:name="Xc8621d6d9308ddaa6c825193c79a96b9432d8b6"/>
    <w:p>
      <w:pPr>
        <w:pStyle w:val="Heading2"/>
      </w:pPr>
      <w:r>
        <w:t xml:space="preserve">§6. The</w:t>
      </w:r>
      <w:r>
        <w:t xml:space="preserve"> </w:t>
      </w:r>
      <w:r>
        <w:rPr>
          <w:rStyle w:val="VerbatimChar"/>
        </w:rPr>
        <w:t xml:space="preserve">pherald migrate</w:t>
      </w:r>
      <w:r>
        <w:t xml:space="preserve"> </w:t>
      </w:r>
      <w:r>
        <w:t xml:space="preserve">CLI</w:t>
      </w:r>
    </w:p>
    <w:p>
      <w:pPr>
        <w:pStyle w:val="FirstParagraph"/>
      </w:pPr>
      <w:r>
        <w:rPr>
          <w:rStyle w:val="VerbatimChar"/>
        </w:rPr>
        <w:t xml:space="preserve">pherald migrate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pherald/cmd/pherald/migrate.go</w:t>
      </w:r>
      <w:r>
        <w:t xml:space="preserve">) drives</w:t>
      </w:r>
      <w:r>
        <w:t xml:space="preserve"> </w:t>
      </w:r>
      <w:r>
        <w:rPr>
          <w:rStyle w:val="VerbatimChar"/>
        </w:rPr>
        <w:t xml:space="preserve">commons_storage.RunMigrations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CurrentVersion</w:t>
      </w:r>
      <w:r>
        <w:t xml:space="preserve"> </w:t>
      </w:r>
      <w:r>
        <w:t xml:space="preserve">from the command line. Four subcommands are registered;</w:t>
      </w:r>
      <w:r>
        <w:t xml:space="preserve"> </w:t>
      </w:r>
      <w:r>
        <w:rPr>
          <w:b/>
          <w:bCs/>
        </w:rPr>
        <w:t xml:space="preserve">two are live, two are honest-501 stubs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migrate 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HERALD_PG_DSN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ParseDSN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RunMigrations</w:t>
            </w:r>
            <w:r>
              <w:t xml:space="preserve">; prints</w:t>
            </w:r>
            <w:r>
              <w:t xml:space="preserve"> </w:t>
            </w:r>
            <w:r>
              <w:rPr>
                <w:rStyle w:val="VerbatimChar"/>
              </w:rPr>
              <w:t xml:space="preserve">applied N migration(s)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migrate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HERALD_PG_DSN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ParseDSN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CurrentVersion</w:t>
            </w:r>
            <w:r>
              <w:t xml:space="preserve">; prints</w:t>
            </w:r>
            <w:r>
              <w:t xml:space="preserve"> </w:t>
            </w:r>
            <w:r>
              <w:rPr>
                <w:rStyle w:val="VerbatimChar"/>
              </w:rPr>
              <w:t xml:space="preserve">schema version: 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migrate 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501 stub</w:t>
            </w:r>
          </w:p>
        </w:tc>
        <w:tc>
          <w:tcPr/>
          <w:p>
            <w:pPr>
              <w:pStyle w:val="Compact"/>
            </w:pPr>
            <w:r>
              <w:t xml:space="preserve">Returns a helpful "not yet implemented — destructive op per §9.1 requires operator authorisation; open an HRD in docs/Issues.md" error. NOT a generic Cobra "unknown command".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migrate validate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501 stub</w:t>
            </w:r>
          </w:p>
        </w:tc>
        <w:tc>
          <w:tcPr/>
          <w:p>
            <w:pPr>
              <w:pStyle w:val="Compact"/>
            </w:pPr>
            <w:r>
              <w:t xml:space="preserve">Returns "not yet implemented — open an HRD in docs/Issues.md to request schema-drift detection".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silent defaults.</w:t>
      </w:r>
      <w:r>
        <w:t xml:space="preserve"> </w:t>
      </w:r>
      <w:r>
        <w:t xml:space="preserve">Both live subcommands</w:t>
      </w:r>
      <w:r>
        <w:t xml:space="preserve"> </w:t>
      </w:r>
      <w:r>
        <w:rPr>
          <w:b/>
          <w:bCs/>
        </w:rP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environment variable (format</w:t>
      </w:r>
      <w:r>
        <w:t xml:space="preserve"> </w:t>
      </w:r>
      <w:r>
        <w:rPr>
          <w:rStyle w:val="VerbatimChar"/>
        </w:rPr>
        <w:t xml:space="preserve">postgres://user:pass@host:port/dbname[?sslmode=disable]</w:t>
      </w:r>
      <w:r>
        <w:t xml:space="preserve">). Per Constitution §11.4.6 (no-guessing), the CLI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fall back to localhost-with-quickstart-defaults — the operator must be explicit about which Postgres to mutate. A missing DSN yields a clear error naming the variable and format.</w:t>
      </w:r>
    </w:p>
    <w:p>
      <w:pPr>
        <w:pStyle w:val="BlockText"/>
      </w:pPr>
      <w:r>
        <w:rPr>
          <w:b/>
          <w:bCs/>
        </w:rPr>
        <w:t xml:space="preserve">Spec vs as-built.</w:t>
      </w:r>
      <w:r>
        <w:t xml:space="preserve"> </w:t>
      </w:r>
      <w:r>
        <w:t xml:space="preserve">Spec §9.6 documents a richer planned surface (</w:t>
      </w:r>
      <w:r>
        <w:rPr>
          <w:rStyle w:val="VerbatimChar"/>
        </w:rPr>
        <w:t xml:space="preserve">migrate up [--steps N]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 down --steps N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 force &lt;version&gt;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confirmation). As of this revision only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(apply-all)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are implemented;</w:t>
      </w:r>
      <w:r>
        <w:t xml:space="preserve"> </w:t>
      </w:r>
      <w:r>
        <w:rPr>
          <w:rStyle w:val="VerbatimChar"/>
        </w:rPr>
        <w:t xml:space="preserve">--steps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are future HRDs. Document against the shipped behaviour above, not the spec's planned surface.</w:t>
      </w:r>
    </w:p>
    <w:bookmarkEnd w:id="19"/>
    <w:bookmarkStart w:id="20" w:name="Xb4d359dd0fc0c65547610f72b70021c6bbc3126"/>
    <w:p>
      <w:pPr>
        <w:pStyle w:val="Heading2"/>
      </w:pPr>
      <w:r>
        <w:t xml:space="preserve">§7. The background task queue + Redis (wired in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 </w:t>
      </w:r>
      <w:r>
        <w:t xml:space="preserve">package doc lists "Redis tenant-namespacing client" and the project README lists a "River queue" as part of the storage layer. As of this revision the</w:t>
      </w:r>
      <w:r>
        <w:t xml:space="preserve"> </w:t>
      </w:r>
      <w:r>
        <w:rPr>
          <w:b/>
          <w:bCs/>
        </w:rPr>
        <w:t xml:space="preserve">live wiring of both lives one layer up,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commons_infra</w:t>
      </w:r>
      <w:r>
        <w:t xml:space="preserve"> </w:t>
      </w:r>
      <w:r>
        <w:t xml:space="preserve">(</w:t>
      </w:r>
      <w:r>
        <w:rPr>
          <w:rStyle w:val="VerbatimChar"/>
        </w:rPr>
        <w:t xml:space="preserve">boot.go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clients.go</w:t>
      </w:r>
      <w:r>
        <w:t xml:space="preserve">), driven by</w:t>
      </w:r>
      <w:r>
        <w:t xml:space="preserve"> </w:t>
      </w:r>
      <w:r>
        <w:rPr>
          <w:rStyle w:val="VerbatimChar"/>
        </w:rPr>
        <w:t xml:space="preserve">QuickstartBoot.Up()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 queue.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 </w:t>
      </w:r>
      <w:r>
        <w:t xml:space="preserve">constructs</w:t>
      </w:r>
      <w:r>
        <w:t xml:space="preserve"> </w:t>
      </w:r>
      <w:r>
        <w:rPr>
          <w:rStyle w:val="VerbatimChar"/>
        </w:rPr>
        <w:t xml:space="preserve">bg.NewPostgresTaskQueue(repo, queueLogger)</w:t>
      </w:r>
      <w:r>
        <w:t xml:space="preserve"> </w:t>
      </w:r>
      <w:r>
        <w:t xml:space="preserve">— the upstream</w:t>
      </w:r>
      <w:r>
        <w:t xml:space="preserve"> </w:t>
      </w:r>
      <w:r>
        <w:rPr>
          <w:rStyle w:val="VerbatimChar"/>
        </w:rPr>
        <w:t xml:space="preserve">digital.vasic.background</w:t>
      </w:r>
      <w:r>
        <w:t xml:space="preserve"> </w:t>
      </w:r>
      <w:r>
        <w:rPr>
          <w:rStyle w:val="VerbatimChar"/>
        </w:rPr>
        <w:t xml:space="preserve">PostgresTaskQueue</w:t>
      </w:r>
      <w:r>
        <w:t xml:space="preserve"> </w:t>
      </w:r>
      <w:r>
        <w:t xml:space="preserve">bound to Herald's local</w:t>
      </w:r>
      <w:r>
        <w:t xml:space="preserve"> </w:t>
      </w:r>
      <w:r>
        <w:rPr>
          <w:rStyle w:val="VerbatimChar"/>
        </w:rPr>
        <w:t xml:space="preserve">pgxTaskRepository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commons_infra/task_repository.go</w:t>
      </w:r>
      <w:r>
        <w:t xml:space="preserve">) over the migration</w:t>
      </w:r>
      <w:r>
        <w:t xml:space="preserve"> </w:t>
      </w:r>
      <w:r>
        <w:rPr>
          <w:rStyle w:val="VerbatimChar"/>
        </w:rPr>
        <w:t xml:space="preserve">000009</w:t>
      </w:r>
      <w:r>
        <w:t xml:space="preserve">/</w:t>
      </w:r>
      <w:r>
        <w:rPr>
          <w:rStyle w:val="VerbatimChar"/>
        </w:rPr>
        <w:t xml:space="preserve">000013</w:t>
      </w:r>
      <w:r>
        <w:t xml:space="preserve">/</w:t>
      </w:r>
      <w:r>
        <w:rPr>
          <w:rStyle w:val="VerbatimChar"/>
        </w:rPr>
        <w:t xml:space="preserve">000014</w:t>
      </w:r>
      <w:r>
        <w:t xml:space="preserve"> </w:t>
      </w:r>
      <w:r>
        <w:t xml:space="preserve">tables. This is the §11.4.74 extend-don't-reimplement seam: Enqueue/Dequeue/Peek/Requeue/MoveToDeadLetter logic is inherited; only the thin SQL-binding repository is Herald-owned. Spec §5.3 names the architectural backend "Postgres + River default"; the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queue is this Postgres-backed task queue over the same pool</w:t>
      </w:r>
      <w:r>
        <w:t xml:space="preserve"> </w:t>
      </w:r>
      <w:r>
        <w:rPr>
          <w:rStyle w:val="VerbatimChar"/>
        </w:rPr>
        <w:t xml:space="preserve">commons_storage.Open</w:t>
      </w:r>
      <w:r>
        <w:t xml:space="preserve"> </w:t>
      </w:r>
      <w:r>
        <w:t xml:space="preserve">returns. The dead-letter plane (</w:t>
      </w:r>
      <w:r>
        <w:rPr>
          <w:rStyle w:val="VerbatimChar"/>
        </w:rPr>
        <w:t xml:space="preserve">MoveToDeadLetter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.queue.dead_letter</w:t>
      </w:r>
      <w:r>
        <w:t xml:space="preserve"> </w:t>
      </w:r>
      <w:r>
        <w:t xml:space="preserve">CloudEvent →</w:t>
      </w:r>
      <w:r>
        <w:t xml:space="preserve"> </w:t>
      </w:r>
      <w:r>
        <w:rPr>
          <w:rStyle w:val="VerbatimChar"/>
        </w:rPr>
        <w:t xml:space="preserve">DeadLetterSubscriber</w:t>
      </w:r>
      <w:r>
        <w:t xml:space="preserve"> </w:t>
      </w:r>
      <w:r>
        <w:t xml:space="preserve">→ sink) is wired to a real consumer per HRD-147 (no emit-into-the-void).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Redis.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 </w:t>
      </w:r>
      <w:r>
        <w:t xml:space="preserve">opens a</w:t>
      </w:r>
      <w:r>
        <w:t xml:space="preserve"> </w:t>
      </w:r>
      <w:r>
        <w:rPr>
          <w:rStyle w:val="VerbatimChar"/>
        </w:rPr>
        <w:t xml:space="preserve">redis.Config{ Addr, Password, DB }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HERALD_REDIS_ADDR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127.0.0.1:24200</w:t>
      </w:r>
      <w:r>
        <w:t xml:space="preserve">),</w:t>
      </w:r>
      <w:r>
        <w:t xml:space="preserve"> </w:t>
      </w:r>
      <w:r>
        <w:rPr>
          <w:rStyle w:val="VerbatimChar"/>
        </w:rPr>
        <w:t xml:space="preserve">HERALD_REDIS_PASSWORD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HERALD_REDIS_DB</w:t>
      </w:r>
      <w:r>
        <w:t xml:space="preserve">. Used for the idempotency SETNX hot path (24h TTL) and the constitution-bindings 60s read cache (</w:t>
      </w:r>
      <w:r>
        <w:rPr>
          <w:rStyle w:val="VerbatimChar"/>
        </w:rPr>
        <w:t xml:space="preserve">000007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clients.go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Pool()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Queue()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Redis()</w:t>
      </w:r>
      <w:r>
        <w:t xml:space="preserve"> </w:t>
      </w:r>
      <w:r>
        <w:t xml:space="preserve">getters that return a live client only after</w:t>
      </w:r>
      <w:r>
        <w:t xml:space="preserve"> </w:t>
      </w:r>
      <w:r>
        <w:rPr>
          <w:rStyle w:val="VerbatimChar"/>
        </w:rPr>
        <w:t xml:space="preserve">Up()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ErrNotBooted</w:t>
      </w:r>
      <w:r>
        <w:t xml:space="preserve"> </w:t>
      </w:r>
      <w:r>
        <w:t xml:space="preserve">otherwise. So:</w:t>
      </w:r>
      <w:r>
        <w:t xml:space="preserve"> </w:t>
      </w:r>
      <w:r>
        <w:rPr>
          <w:rStyle w:val="VerbatimChar"/>
          <w:b/>
          <w:bCs/>
        </w:rPr>
        <w:t xml:space="preserve">commons_storage</w:t>
      </w:r>
      <w:r>
        <w:rPr>
          <w:b/>
          <w:bCs/>
        </w:rPr>
        <w:t xml:space="preserve"> </w:t>
      </w:r>
      <w:r>
        <w:rPr>
          <w:b/>
          <w:bCs/>
        </w:rPr>
        <w:t xml:space="preserve">owns the pool + migrations + RLS;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commons_infra</w:t>
      </w:r>
      <w:r>
        <w:rPr>
          <w:b/>
          <w:bCs/>
        </w:rPr>
        <w:t xml:space="preserve"> </w:t>
      </w:r>
      <w:r>
        <w:rPr>
          <w:b/>
          <w:bCs/>
        </w:rPr>
        <w:t xml:space="preserve">owns the lifecycle that boots Postgres+Redis+Queue and hands the pool to the queue.</w:t>
      </w:r>
    </w:p>
    <w:bookmarkEnd w:id="20"/>
    <w:bookmarkStart w:id="21" w:name="Xab92d0b46459f86e131c97150a0364cf800ee07"/>
    <w:p>
      <w:pPr>
        <w:pStyle w:val="Heading2"/>
      </w:pPr>
      <w:r>
        <w:t xml:space="preserve">§8. Environment variables</w:t>
      </w:r>
    </w:p>
    <w:p>
      <w:pPr>
        <w:pStyle w:val="FirstParagraph"/>
      </w:pPr>
      <w:r>
        <w:t xml:space="preserve">These are the storage-relevant variables actually read in source (</w:t>
      </w:r>
      <w:r>
        <w:rPr>
          <w:rStyle w:val="VerbatimChar"/>
        </w:rPr>
        <w:t xml:space="preserve">commons_infra/boot.go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pherald/cmd/pherald/migrate.go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quickstart/</w:t>
      </w:r>
      <w:r>
        <w:t xml:space="preserve">), not invented: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HERALD_PG_DSN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migrate up/status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migrate.go</w:t>
            </w:r>
            <w:r>
              <w:t xml:space="preserve">); also</w:t>
            </w:r>
            <w:r>
              <w:t xml:space="preserve"> </w:t>
            </w: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store selection (</w:t>
            </w:r>
            <w:r>
              <w:rPr>
                <w:rStyle w:val="VerbatimChar"/>
              </w:rPr>
              <w:t xml:space="preserve">cherald/cmd/cherald/main.go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 (</w:t>
            </w: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Postgres URL</w:t>
            </w:r>
            <w:r>
              <w:t xml:space="preserve"> </w:t>
            </w:r>
            <w:r>
              <w:rPr>
                <w:rStyle w:val="VerbatimChar"/>
              </w:rPr>
              <w:t xml:space="preserve">postgres://user:pass@host:port/dbname[?sslmode=…]</w:t>
            </w:r>
            <w:r>
              <w:t xml:space="preserve">. No silent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QuickstartBoot</w:t>
            </w:r>
            <w:r>
              <w:t xml:space="preserve">), quickstart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herald_dev</w:t>
            </w:r>
            <w:r>
              <w:t xml:space="preserve"> </w:t>
            </w:r>
            <w:r>
              <w:t xml:space="preserve">(boot) /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in compose</w:t>
            </w:r>
          </w:p>
        </w:tc>
        <w:tc>
          <w:tcPr/>
          <w:p>
            <w:pPr>
              <w:pStyle w:val="Compact"/>
            </w:pPr>
            <w:r>
              <w:t xml:space="preserve">Postgres password for the booted container. The quickstart compose declares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POSTGRES_PASSWORD: ${HERALD_DB_PASSWORD:?…required…}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24100</w:t>
            </w:r>
          </w:p>
        </w:tc>
        <w:tc>
          <w:tcPr/>
          <w:p>
            <w:pPr>
              <w:pStyle w:val="Compact"/>
            </w:pPr>
            <w:r>
              <w:t xml:space="preserve">Host port for the quickstart Postgres (maps</w:t>
            </w:r>
            <w:r>
              <w:t xml:space="preserve"> </w:t>
            </w:r>
            <w:r>
              <w:rPr>
                <w:rStyle w:val="VerbatimChar"/>
              </w:rPr>
              <w:t xml:space="preserve">24100:5432</w:t>
            </w:r>
            <w:r>
              <w:t xml:space="preserve"> </w:t>
            </w:r>
            <w:r>
              <w:t xml:space="preserve">per spec §9.4 reserved range).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boot.go</w:t>
            </w:r>
          </w:p>
        </w:tc>
        <w:tc>
          <w:tcPr/>
          <w:p>
            <w:pPr>
              <w:pStyle w:val="Compact"/>
            </w:pPr>
            <w:r>
              <w:t xml:space="preserve">(compose default</w:t>
            </w:r>
            <w:r>
              <w:t xml:space="preserve"> </w:t>
            </w:r>
            <w:r>
              <w:rPr>
                <w:rStyle w:val="VerbatimChar"/>
              </w:rPr>
              <w:t xml:space="preserve">herald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Postgres database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127.0.0.1:24200</w:t>
            </w:r>
          </w:p>
        </w:tc>
        <w:tc>
          <w:tcPr/>
          <w:p>
            <w:pPr>
              <w:pStyle w:val="Compact"/>
            </w:pPr>
            <w:r>
              <w:t xml:space="preserve">Redis host:port (maps</w:t>
            </w:r>
            <w:r>
              <w:t xml:space="preserve"> </w:t>
            </w:r>
            <w:r>
              <w:rPr>
                <w:rStyle w:val="VerbatimChar"/>
              </w:rPr>
              <w:t xml:space="preserve">24200:6379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boot.go</w:t>
            </w:r>
            <w:r>
              <w:t xml:space="preserve">, quickstart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(boot) /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in compose</w:t>
            </w:r>
          </w:p>
        </w:tc>
        <w:tc>
          <w:tcPr/>
          <w:p>
            <w:pPr>
              <w:pStyle w:val="Compact"/>
            </w:pPr>
            <w:r>
              <w:t xml:space="preserve">Redis password; compose runs</w:t>
            </w:r>
            <w:r>
              <w:t xml:space="preserve"> </w:t>
            </w:r>
            <w:r>
              <w:rPr>
                <w:rStyle w:val="VerbatimChar"/>
              </w:rPr>
              <w:t xml:space="preserve">redis-server --requirepass ${HERALD_REDIS_PASSWORD:?…required…}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Redis logical DB index.</w:t>
            </w:r>
          </w:p>
        </w:tc>
      </w:tr>
    </w:tbl>
    <w:p>
      <w:pPr>
        <w:pStyle w:val="BodyText"/>
      </w:pPr>
      <w:r>
        <w:t xml:space="preserve">Resolution order (per</w:t>
      </w:r>
      <w:r>
        <w:t xml:space="preserve"> </w:t>
      </w:r>
      <w:r>
        <w:rPr>
          <w:rStyle w:val="VerbatimChar"/>
        </w:rPr>
        <w:t xml:space="preserve">OPERATOR_CREDENTIALS.md</w:t>
      </w:r>
      <w:r>
        <w:t xml:space="preserve"> </w:t>
      </w:r>
      <w:r>
        <w:t xml:space="preserve">+ spec §3.3): explicit CLI flag (when one exists) → exported shell vars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fallback → compiled default.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never overrides shell exports. See</w:t>
      </w:r>
      <w:r>
        <w:t xml:space="preserve"> </w:t>
      </w:r>
      <w:r>
        <w:rPr>
          <w:rStyle w:val="VerbatimChar"/>
        </w:rPr>
        <w:t xml:space="preserve">quickstart/.env.example</w:t>
      </w:r>
      <w:r>
        <w:t xml:space="preserve"> </w:t>
      </w:r>
      <w:r>
        <w:t xml:space="preserve">for the canonical template (e.g.</w:t>
      </w:r>
      <w:r>
        <w:t xml:space="preserve"> </w:t>
      </w:r>
      <w:r>
        <w:rPr>
          <w:rStyle w:val="VerbatimChar"/>
        </w:rPr>
        <w:t xml:space="preserve">HERALD_PG_DSN=postgres://herald:…@127.0.0.1:24100/herald</w:t>
      </w:r>
      <w:r>
        <w:t xml:space="preserve">).</w:t>
      </w:r>
    </w:p>
    <w:bookmarkEnd w:id="21"/>
    <w:bookmarkStart w:id="22" w:name="Xf3a45a0c972d01bbd1ee8b7aface91daa8e97b1"/>
    <w:p>
      <w:pPr>
        <w:pStyle w:val="Heading2"/>
      </w:pPr>
      <w:r>
        <w:t xml:space="preserve">§9. How flavors consume</w:t>
      </w:r>
      <w:r>
        <w:t xml:space="preserve"> </w:t>
      </w:r>
      <w:r>
        <w:rPr>
          <w:rStyle w:val="VerbatimChar"/>
        </w:rPr>
        <w:t xml:space="preserve">commons_storage</w:t>
      </w:r>
    </w:p>
    <w:p>
      <w:pPr>
        <w:pStyle w:val="FirstParagraph"/>
      </w:pPr>
      <w:r>
        <w:t xml:space="preserve">Flavor binaries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pgx pools by hand — they go through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pherald migrate</w:t>
      </w:r>
      <w:r>
        <w:t xml:space="preserve"> </w:t>
      </w:r>
      <w:r>
        <w:t xml:space="preserve">— the operator/CI entry point.</w:t>
      </w:r>
      <w:r>
        <w:t xml:space="preserve"> </w:t>
      </w:r>
      <w:r>
        <w:rPr>
          <w:rStyle w:val="VerbatimChar"/>
        </w:rPr>
        <w:t xml:space="preserve">ParseDSN(HERALD_PG_DSN)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CurrentVersion</w:t>
      </w:r>
      <w:r>
        <w:t xml:space="preserve">. This is the canonical way to roll schema forward against any Postgres (§6).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pherald serve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 listen</w:t>
      </w:r>
      <w:r>
        <w:rPr>
          <w:b/>
          <w:bCs/>
        </w:rPr>
        <w:t xml:space="preserve"> </w:t>
      </w:r>
      <w:r>
        <w:rPr>
          <w:b/>
          <w:bCs/>
        </w:rPr>
        <w:t xml:space="preserve">Runner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OpenWithPool</w:t>
      </w:r>
      <w:r>
        <w:t xml:space="preserve"> </w:t>
      </w:r>
      <w:r>
        <w:t xml:space="preserve">to get the raw</w:t>
      </w:r>
      <w:r>
        <w:t xml:space="preserve"> </w:t>
      </w:r>
      <w:r>
        <w:rPr>
          <w:rStyle w:val="VerbatimChar"/>
        </w:rPr>
        <w:t xml:space="preserve">*pgxpool.Pool</w:t>
      </w:r>
      <w:r>
        <w:t xml:space="preserve"> </w:t>
      </w:r>
      <w:r>
        <w:t xml:space="preserve">for the pg adapters that drive</w:t>
      </w:r>
      <w:r>
        <w:t xml:space="preserve"> </w:t>
      </w:r>
      <w:r>
        <w:rPr>
          <w:rStyle w:val="VerbatimChar"/>
        </w:rPr>
        <w:t xml:space="preserve">pgx.Query</w:t>
      </w:r>
      <w:r>
        <w:t xml:space="preserve">/</w:t>
      </w:r>
      <w:r>
        <w:rPr>
          <w:rStyle w:val="VerbatimChar"/>
        </w:rPr>
        <w:t xml:space="preserve">pgx.Exec</w:t>
      </w:r>
      <w:r>
        <w:t xml:space="preserve"> </w:t>
      </w:r>
      <w:r>
        <w:t xml:space="preserve">directly, and wraps every multi-tenant access in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(§3).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cherald</w:t>
      </w:r>
      <w:r>
        <w:t xml:space="preserve"> </w:t>
      </w:r>
      <w:r>
        <w:t xml:space="preserve">— selects a Postgres-backed</w:t>
      </w:r>
      <w:r>
        <w:t xml:space="preserve"> </w:t>
      </w:r>
      <w:r>
        <w:rPr>
          <w:rStyle w:val="VerbatimChar"/>
        </w:rPr>
        <w:t xml:space="preserve">ConstitutionStore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ModeLadder</w:t>
      </w:r>
      <w:r>
        <w:t xml:space="preserve"> </w:t>
      </w:r>
      <w:r>
        <w:t xml:space="preserve">/ audit backend when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is set (over</w:t>
      </w:r>
      <w:r>
        <w:t xml:space="preserve"> </w:t>
      </w:r>
      <w:r>
        <w:rPr>
          <w:rStyle w:val="VerbatimChar"/>
        </w:rPr>
        <w:t xml:space="preserve">ParseDSN</w:t>
      </w:r>
      <w:r>
        <w:t xml:space="preserve"> </w:t>
      </w:r>
      <w:r>
        <w:t xml:space="preserve">+ the shared pool), and an in-memory fallback otherwise (</w:t>
      </w:r>
      <w:r>
        <w:rPr>
          <w:rStyle w:val="VerbatimChar"/>
        </w:rPr>
        <w:t xml:space="preserve">cherald/cmd/cherald/main.go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flavors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commons_infra.QuickstartBoot</w:t>
      </w:r>
      <w:r>
        <w:t xml:space="preserve"> </w:t>
      </w:r>
      <w:r>
        <w:t xml:space="preserve">— the daemon path boots Postgres+Redis+Queue once and shares the single pool across the store, the queue repository, and the Redis cache (§7).</w:t>
      </w:r>
    </w:p>
    <w:p>
      <w:pPr>
        <w:pStyle w:val="FirstParagraph"/>
      </w:pPr>
      <w:r>
        <w:t xml:space="preserve">The rule (spec V4 §10 layering): put shared storage code in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; flavors inherit upward and never re-open their own pool.</w:t>
      </w:r>
    </w:p>
    <w:bookmarkEnd w:id="22"/>
    <w:bookmarkStart w:id="23" w:name="Xf5f5f02b2db9288f10993baef955424cb396605"/>
    <w:p>
      <w:pPr>
        <w:pStyle w:val="Heading2"/>
      </w:pPr>
      <w:r>
        <w:t xml:space="preserve">§10. Operator migrations runbook</w:t>
      </w:r>
    </w:p>
    <w:p>
      <w:pPr>
        <w:pStyle w:val="FirstParagraph"/>
      </w:pPr>
      <w:r>
        <w:t xml:space="preserve">Bring schema up against a target Postgres (assumes the quickstart stack from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, or any reachable Postgres):</w:t>
      </w:r>
    </w:p>
    <w:p>
      <w:pPr>
        <w:pStyle w:val="SourceCode"/>
      </w:pPr>
      <w:r>
        <w:rPr>
          <w:rStyle w:val="CommentTok"/>
        </w:rPr>
        <w:t xml:space="preserve"># 1. Set the DSN explicitly — no silent default (§6).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HERALD_PG_DSN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'postgres://herald:&lt;password&gt;@127.0.0.1:24100/herald?sslmode=disable'</w:t>
      </w:r>
      <w:r>
        <w:br/>
      </w:r>
      <w:r>
        <w:br/>
      </w:r>
      <w:r>
        <w:rPr>
          <w:rStyle w:val="CommentTok"/>
        </w:rPr>
        <w:t xml:space="preserve"># 2. Check the current version (0 on a fresh DB — the tracking table is absent yet).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migrate status</w:t>
      </w:r>
      <w:r>
        <w:br/>
      </w:r>
      <w:r>
        <w:rPr>
          <w:rStyle w:val="CommentTok"/>
        </w:rPr>
        <w:t xml:space="preserve">#   -&gt; schema version: 0</w:t>
      </w:r>
      <w:r>
        <w:br/>
      </w:r>
      <w:r>
        <w:br/>
      </w:r>
      <w:r>
        <w:rPr>
          <w:rStyle w:val="CommentTok"/>
        </w:rPr>
        <w:t xml:space="preserve"># 3. Apply all pending migrations (idempotent — re-running applies nothing new).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migrate up</w:t>
      </w:r>
      <w:r>
        <w:br/>
      </w:r>
      <w:r>
        <w:rPr>
          <w:rStyle w:val="CommentTok"/>
        </w:rPr>
        <w:t xml:space="preserve">#   -&gt; applied 15 migration(s)      # on a fresh DB; fewer if some already applied</w:t>
      </w:r>
      <w:r>
        <w:br/>
      </w:r>
      <w:r>
        <w:br/>
      </w:r>
      <w:r>
        <w:rPr>
          <w:rStyle w:val="CommentTok"/>
        </w:rPr>
        <w:t xml:space="preserve"># 4. Confirm.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migrate status</w:t>
      </w:r>
      <w:r>
        <w:br/>
      </w:r>
      <w:r>
        <w:rPr>
          <w:rStyle w:val="CommentTok"/>
        </w:rPr>
        <w:t xml:space="preserve">#   -&gt; schema version: 15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Idempotent.</w:t>
      </w:r>
      <w:r>
        <w:t xml:space="preserve"> </w:t>
      </w:r>
      <w:r>
        <w:rPr>
          <w:rStyle w:val="VerbatimChar"/>
        </w:rPr>
        <w:t xml:space="preserve">migrate up</w:t>
      </w:r>
      <w:r>
        <w:t xml:space="preserve"> </w:t>
      </w:r>
      <w:r>
        <w:t xml:space="preserve">only applies versions not already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; a second run prints</w:t>
      </w:r>
      <w:r>
        <w:t xml:space="preserve"> </w:t>
      </w:r>
      <w:r>
        <w:rPr>
          <w:rStyle w:val="VerbatimChar"/>
        </w:rPr>
        <w:t xml:space="preserve">applied 0 migration(s)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first.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000001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herald_migrator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herald_app</w:t>
      </w:r>
      <w:r>
        <w:t xml:space="preserve">; you must connect as a role allowed to</w:t>
      </w:r>
      <w:r>
        <w:t xml:space="preserve"> </w:t>
      </w:r>
      <w:r>
        <w:rPr>
          <w:rStyle w:val="VerbatimChar"/>
        </w:rPr>
        <w:t xml:space="preserve">CREATE ROLE</w:t>
      </w:r>
      <w:r>
        <w:t xml:space="preserve"> </w:t>
      </w:r>
      <w:r>
        <w:t xml:space="preserve">(the bootstrap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 is not yet wired.</w:t>
      </w:r>
      <w:r>
        <w:t xml:space="preserve"> </w:t>
      </w:r>
      <w:r>
        <w:rPr>
          <w:rStyle w:val="VerbatimChar"/>
        </w:rPr>
        <w:t xml:space="preserve">pherald migrate down</w:t>
      </w:r>
      <w:r>
        <w:t xml:space="preserve"> </w:t>
      </w:r>
      <w:r>
        <w:t xml:space="preserve">returns an honest 501 (§6). To roll back today you apply the matching</w:t>
      </w:r>
      <w:r>
        <w:t xml:space="preserve"> </w:t>
      </w:r>
      <w:r>
        <w:rPr>
          <w:rStyle w:val="VerbatimChar"/>
        </w:rPr>
        <w:t xml:space="preserve">migrations/NNNNNN_&lt;name&gt;.down.sql</w:t>
      </w:r>
      <w:r>
        <w:t xml:space="preserve"> </w:t>
      </w:r>
      <w:r>
        <w:t xml:space="preserve">manually under operator authorisation per §9.1, then delete the row from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— there is no CLI shortcut yet.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Evidence.</w:t>
      </w:r>
      <w:r>
        <w:t xml:space="preserve"> </w:t>
      </w:r>
      <w:r>
        <w:t xml:space="preserve">Per §107.x, a migration run that ships a feature lands its transcript (the</w:t>
      </w:r>
      <w:r>
        <w:t xml:space="preserve"> </w:t>
      </w:r>
      <w:r>
        <w:rPr>
          <w:rStyle w:val="VerbatimChar"/>
        </w:rPr>
        <w:t xml:space="preserve">migrate status</w:t>
      </w:r>
      <w:r>
        <w:t xml:space="preserve">/</w:t>
      </w:r>
      <w:r>
        <w:rPr>
          <w:rStyle w:val="VerbatimChar"/>
        </w:rPr>
        <w:t xml:space="preserve">up</w:t>
      </w:r>
      <w:r>
        <w:t xml:space="preserve"> </w:t>
      </w:r>
      <w:r>
        <w:t xml:space="preserve">output + the resulting schema dump)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</w:t>
      </w:r>
    </w:p>
    <w:bookmarkEnd w:id="23"/>
    <w:bookmarkStart w:id="24" w:name="Xec4f1ccca62745376ac0dbfb65a3ee1dc65a919"/>
    <w:p>
      <w:pPr>
        <w:pStyle w:val="Heading2"/>
      </w:pPr>
      <w:r>
        <w:t xml:space="preserve">§11. Troubleshooting</w:t>
      </w:r>
    </w:p>
    <w:p>
      <w:pPr>
        <w:pStyle w:val="FirstParagraph"/>
      </w:pPr>
      <w:r>
        <w:rPr>
          <w:rStyle w:val="VerbatimChar"/>
          <w:b/>
          <w:bCs/>
        </w:rPr>
        <w:t xml:space="preserve">migrate up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b/>
          <w:bCs/>
        </w:rPr>
        <w:t xml:space="preserve">errors with "HERALD_PG_DSN environment variable must be set".</w:t>
      </w:r>
      <w:r>
        <w:t xml:space="preserve"> </w:t>
      </w:r>
      <w:r>
        <w:t xml:space="preserve">The CLI has no silent default by design (§6). Export the DSN. Format must be</w:t>
      </w:r>
      <w:r>
        <w:t xml:space="preserve"> </w:t>
      </w:r>
      <w:r>
        <w:rPr>
          <w:rStyle w:val="VerbatimChar"/>
        </w:rPr>
        <w:t xml:space="preserve">postgres://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; other schemes are rejected by</w:t>
      </w:r>
      <w:r>
        <w:t xml:space="preserve"> </w:t>
      </w:r>
      <w:r>
        <w:rPr>
          <w:rStyle w:val="VerbatimChar"/>
        </w:rPr>
        <w:t xml:space="preserve">ParseDSN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Tenant A can see tenant B's rows (RLS not isolating).</w:t>
      </w:r>
      <w:r>
        <w:t xml:space="preserve"> </w:t>
      </w:r>
      <w:r>
        <w:t xml:space="preserve">Two root causes (§3.3):</w:t>
      </w:r>
    </w:p>
    <w:p>
      <w:pPr>
        <w:pStyle w:val="Compact"/>
        <w:numPr>
          <w:ilvl w:val="0"/>
          <w:numId w:val="1008"/>
        </w:numPr>
      </w:pPr>
      <w:r>
        <w:t xml:space="preserve">The table lacks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— owners bypass plain RLS. Confirm migration</w:t>
      </w:r>
      <w:r>
        <w:t xml:space="preserve"> </w:t>
      </w:r>
      <w:r>
        <w:rPr>
          <w:rStyle w:val="VerbatimChar"/>
        </w:rPr>
        <w:t xml:space="preserve">000008</w:t>
      </w:r>
      <w:r>
        <w:t xml:space="preserve"> </w:t>
      </w:r>
      <w:r>
        <w:t xml:space="preserve">(and the per-table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lines) applied:</w:t>
      </w:r>
      <w:r>
        <w:t xml:space="preserve"> </w:t>
      </w:r>
      <w:r>
        <w:rPr>
          <w:rStyle w:val="VerbatimChar"/>
        </w:rPr>
        <w:t xml:space="preserve">SELECT relname, relforcerowsecurity FROM pg_class WHERE relrowsecurity;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query ran as a</w:t>
      </w:r>
      <w:r>
        <w:t xml:space="preserve"> </w:t>
      </w:r>
      <w:r>
        <w:rPr>
          <w:b/>
          <w:bCs/>
        </w:rPr>
        <w:t xml:space="preserve">superuser</w:t>
      </w:r>
      <w:r>
        <w:t xml:space="preserve"> </w:t>
      </w:r>
      <w:r>
        <w:t xml:space="preserve">(the bootstrap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), which bypasses RLS even with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. You MUST go through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, which runs</w:t>
      </w:r>
      <w:r>
        <w:t xml:space="preserve"> </w:t>
      </w:r>
      <w:r>
        <w:rPr>
          <w:rStyle w:val="VerbatimChar"/>
        </w:rPr>
        <w:t xml:space="preserve">SET LOCAL ROLE herald_app</w:t>
      </w:r>
      <w:r>
        <w:t xml:space="preserve"> </w:t>
      </w:r>
      <w:r>
        <w:t xml:space="preserve">first. Querying multi-tenant tables directly as the bootstrap user is the E14 bluff — fix the call site, do not "fix" it by loosening the policy.</w:t>
      </w:r>
    </w:p>
    <w:p>
      <w:pPr>
        <w:pStyle w:val="FirstParagraph"/>
      </w:pPr>
      <w:r>
        <w:rPr>
          <w:rStyle w:val="VerbatimChar"/>
          <w:b/>
          <w:bCs/>
        </w:rPr>
        <w:t xml:space="preserve">current_setting('app.tenant_id')</w:t>
      </w:r>
      <w:r>
        <w:rPr>
          <w:b/>
          <w:bCs/>
        </w:rPr>
        <w:t xml:space="preserve"> </w:t>
      </w:r>
      <w:r>
        <w:rPr>
          <w:b/>
          <w:bCs/>
        </w:rPr>
        <w:t xml:space="preserve">errors / zero rows.</w:t>
      </w:r>
      <w:r>
        <w:t xml:space="preserve"> </w:t>
      </w:r>
      <w:r>
        <w:t xml:space="preserve">The GUC was never set. Every multi-tenant access MUST run inside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(or at minimum run</w:t>
      </w:r>
      <w:r>
        <w:t xml:space="preserve"> </w:t>
      </w:r>
      <w:r>
        <w:rPr>
          <w:rStyle w:val="VerbatimChar"/>
        </w:rPr>
        <w:t xml:space="preserve">SetTenantContext(tenantID)</w:t>
      </w:r>
      <w:r>
        <w:t xml:space="preserve">'s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). RLS fails-closed: no GUC → zero rows / blocked writes (spec §16).</w:t>
      </w:r>
    </w:p>
    <w:p>
      <w:pPr>
        <w:pStyle w:val="BodyText"/>
      </w:pPr>
      <w:r>
        <w:rPr>
          <w:b/>
          <w:bCs/>
        </w:rPr>
        <w:t xml:space="preserve">SASL auth failure connecting to Postgres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:24100</w:t>
      </w:r>
      <w:r>
        <w:rPr>
          <w:b/>
          <w:bCs/>
        </w:rPr>
        <w:t xml:space="preserve">.</w:t>
      </w:r>
      <w:r>
        <w:t xml:space="preserve"> </w:t>
      </w:r>
      <w:r>
        <w:t xml:space="preserve">Symptom:</w:t>
      </w:r>
      <w:r>
        <w:t xml:space="preserve"> </w:t>
      </w:r>
      <w:r>
        <w:rPr>
          <w:rStyle w:val="VerbatimChar"/>
        </w:rPr>
        <w:t xml:space="preserve">SASL authentication failed</w:t>
      </w:r>
      <w:r>
        <w:t xml:space="preserve"> </w:t>
      </w:r>
      <w:r>
        <w:t xml:space="preserve">/ password mismatch. Known causes for the quickstart stack:</w:t>
      </w:r>
    </w:p>
    <w:p>
      <w:pPr>
        <w:pStyle w:val="Compact"/>
        <w:numPr>
          <w:ilvl w:val="0"/>
          <w:numId w:val="1009"/>
        </w:numPr>
      </w:pPr>
      <w:r>
        <w:t xml:space="preserve">The container is up but</w:t>
      </w:r>
      <w:r>
        <w:t xml:space="preserve"> </w:t>
      </w:r>
      <w:r>
        <w:rPr>
          <w:rStyle w:val="VerbatimChar"/>
        </w:rPr>
        <w:t xml:space="preserve">HERALD_DB_PASSWORD</w:t>
      </w:r>
      <w:r>
        <w:t xml:space="preserve"> </w:t>
      </w:r>
      <w:r>
        <w:t xml:space="preserve">in your shell/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does not match what the</w:t>
      </w:r>
      <w:r>
        <w:t xml:space="preserve"> </w:t>
      </w:r>
      <w:r>
        <w:rPr>
          <w:rStyle w:val="VerbatimChar"/>
        </w:rPr>
        <w:t xml:space="preserve">herald-postgres</w:t>
      </w:r>
      <w:r>
        <w:t xml:space="preserve"> </w:t>
      </w:r>
      <w:r>
        <w:t xml:space="preserve">container was first initialised with — Postgres only honours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volume init. A stale volume from a different password (e.g. left over from the</w:t>
      </w:r>
      <w:r>
        <w:t xml:space="preserve"> </w:t>
      </w:r>
      <w:r>
        <w:rPr>
          <w:rStyle w:val="VerbatimChar"/>
        </w:rPr>
        <w:t xml:space="preserve">herald-e2e</w:t>
      </w:r>
      <w:r>
        <w:t xml:space="preserve"> </w:t>
      </w:r>
      <w:r>
        <w:t xml:space="preserve">integration project) keeps the old password. Tear the volume down and re-up, or align the password.</w:t>
      </w:r>
    </w:p>
    <w:p>
      <w:pPr>
        <w:pStyle w:val="Compact"/>
        <w:numPr>
          <w:ilvl w:val="0"/>
          <w:numId w:val="1009"/>
        </w:numPr>
      </w:pPr>
      <w:r>
        <w:t xml:space="preserve">The Postgres container is not actually listening yet —</w:t>
      </w:r>
      <w:r>
        <w:t xml:space="preserve"> </w:t>
      </w:r>
      <w:r>
        <w:rPr>
          <w:rStyle w:val="VerbatimChar"/>
        </w:rPr>
        <w:t xml:space="preserve">24100:5432</w:t>
      </w:r>
      <w:r>
        <w:t xml:space="preserve"> </w:t>
      </w:r>
      <w:r>
        <w:t xml:space="preserve">is the host mapping; ensure the container (and, on macOS,</w:t>
      </w:r>
      <w:r>
        <w:t xml:space="preserve"> </w:t>
      </w:r>
      <w:r>
        <w:rPr>
          <w:rStyle w:val="VerbatimChar"/>
        </w:rPr>
        <w:t xml:space="preserve">podman machine</w:t>
      </w:r>
      <w:r>
        <w:t xml:space="preserve">) is started before connecting.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sslmode</w:t>
      </w:r>
      <w:r>
        <w:t xml:space="preserve"> </w:t>
      </w:r>
      <w:r>
        <w:t xml:space="preserve">mismatch — local-dev uses</w:t>
      </w:r>
      <w:r>
        <w:t xml:space="preserve"> </w:t>
      </w:r>
      <w:r>
        <w:rPr>
          <w:rStyle w:val="VerbatimChar"/>
        </w:rPr>
        <w:t xml:space="preserve">sslmode=disable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ConfigForHerald</w:t>
      </w:r>
      <w:r>
        <w:t xml:space="preserve"> </w:t>
      </w:r>
      <w:r>
        <w:t xml:space="preserve">default). A DSN forcing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against the no-TLS quickstart Postgres fails the handshake before SASL.</w:t>
      </w:r>
    </w:p>
    <w:p>
      <w:pPr>
        <w:pStyle w:val="FirstParagraph"/>
      </w:pPr>
      <w:r>
        <w:rPr>
          <w:rStyle w:val="VerbatimChar"/>
          <w:b/>
          <w:bCs/>
        </w:rPr>
        <w:t xml:space="preserve">migrate status</w:t>
      </w:r>
      <w:r>
        <w:rPr>
          <w:b/>
          <w:bCs/>
        </w:rPr>
        <w:t xml:space="preserve"> </w:t>
      </w:r>
      <w:r>
        <w:rPr>
          <w:b/>
          <w:bCs/>
        </w:rPr>
        <w:t xml:space="preserve">returns 0 against a DB that clearly has tables.</w:t>
      </w:r>
      <w:r>
        <w:t xml:space="preserve"> </w:t>
      </w:r>
      <w:r>
        <w:rPr>
          <w:rStyle w:val="VerbatimChar"/>
        </w:rPr>
        <w:t xml:space="preserve">CurrentVersion</w:t>
      </w:r>
      <w:r>
        <w:t xml:space="preserve"> </w:t>
      </w:r>
      <w:r>
        <w:t xml:space="preserve">keys on the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tracking table specifically. If a schema was created by some other tool (not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), there is no tracking row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reports 0. Run</w:t>
      </w:r>
      <w:r>
        <w:t xml:space="preserve"> </w:t>
      </w:r>
      <w:r>
        <w:rPr>
          <w:rStyle w:val="VerbatimChar"/>
        </w:rPr>
        <w:t xml:space="preserve">migrate up</w:t>
      </w:r>
      <w:r>
        <w:t xml:space="preserve"> </w:t>
      </w:r>
      <w:r>
        <w:t xml:space="preserve">to let Herald record versions (it will skip objects created with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, but the tracking rows will be inserted).</w:t>
      </w:r>
    </w:p>
    <w:p>
      <w:pPr>
        <w:pStyle w:val="BodyText"/>
      </w:pPr>
      <w:r>
        <w:rPr>
          <w:rStyle w:val="VerbatimChar"/>
          <w:b/>
          <w:bCs/>
        </w:rPr>
        <w:t xml:space="preserve">migrate up</w:t>
      </w:r>
      <w:r>
        <w:rPr>
          <w:b/>
          <w:bCs/>
        </w:rPr>
        <w:t xml:space="preserve"> </w:t>
      </w:r>
      <w:r>
        <w:rPr>
          <w:b/>
          <w:bCs/>
        </w:rPr>
        <w:t xml:space="preserve">fails mid-way.</w:t>
      </w:r>
      <w:r>
        <w:t xml:space="preserve"> </w:t>
      </w:r>
      <w:r>
        <w:t xml:space="preserve">Each migration runs in its own transaction (</w:t>
      </w:r>
      <w:r>
        <w:rPr>
          <w:rStyle w:val="VerbatimChar"/>
        </w:rPr>
        <w:t xml:space="preserve">applyMigration</w:t>
      </w:r>
      <w:r>
        <w:t xml:space="preserve">); a failing migration rolls back its own transaction and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 </w:t>
      </w:r>
      <w:r>
        <w:t xml:space="preserve">returns the versions applied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failure plus the wrapped error naming the failing</w:t>
      </w:r>
      <w:r>
        <w:t xml:space="preserve"> </w:t>
      </w:r>
      <w:r>
        <w:rPr>
          <w:rStyle w:val="VerbatimChar"/>
        </w:rPr>
        <w:t xml:space="preserve">v&lt;N&gt; (&lt;name&gt;)</w:t>
      </w:r>
      <w:r>
        <w:t xml:space="preserve">. Fix the SQL / DB state and re-run — already-applied versions are skipped.</w:t>
      </w:r>
    </w:p>
    <w:bookmarkEnd w:id="24"/>
    <w:bookmarkStart w:id="25" w:name="Xc1bc401cd8daf2da041760b5d65fc7fe604939e"/>
    <w:p>
      <w:pPr>
        <w:pStyle w:val="Heading2"/>
      </w:pPr>
      <w:r>
        <w:t xml:space="preserve">§12. Testing notes</w:t>
      </w:r>
    </w:p>
    <w:p>
      <w:pPr>
        <w:pStyle w:val="FirstParagraph"/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commons_storage/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storage_test.go</w:t>
            </w:r>
          </w:p>
        </w:tc>
        <w:tc>
          <w:tcPr/>
          <w:p>
            <w:pPr>
              <w:pStyle w:val="Compact"/>
            </w:pPr>
            <w:r>
              <w:t xml:space="preserve">unit (no DB)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SetTenantContext</w:t>
            </w:r>
            <w:r>
              <w:t xml:space="preserve"> </w:t>
            </w:r>
            <w:r>
              <w:t xml:space="preserve">SQL shape, basic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migrations_test.go</w:t>
            </w:r>
          </w:p>
        </w:tc>
        <w:tc>
          <w:tcPr/>
          <w:p>
            <w:pPr>
              <w:pStyle w:val="Compact"/>
            </w:pPr>
            <w:r>
              <w:t xml:space="preserve">unit (no DB)</w:t>
            </w:r>
          </w:p>
        </w:tc>
        <w:tc>
          <w:tcPr/>
          <w:p>
            <w:pPr>
              <w:pStyle w:val="Compact"/>
            </w:pPr>
            <w:r>
              <w:t xml:space="preserve">The embedded bundle parses, every expected</w:t>
            </w:r>
            <w:r>
              <w:t xml:space="preserve"> </w:t>
            </w:r>
            <w:r>
              <w:rPr>
                <w:rStyle w:val="VerbatimChar"/>
              </w:rPr>
              <w:t xml:space="preserve">000001</w:t>
            </w:r>
            <w:r>
              <w:t xml:space="preserve">..</w:t>
            </w:r>
            <w:r>
              <w:rPr>
                <w:rStyle w:val="VerbatimChar"/>
              </w:rPr>
              <w:t xml:space="preserve">000015</w:t>
            </w:r>
            <w:r>
              <w:t xml:space="preserve"> </w:t>
            </w:r>
            <w:r>
              <w:t xml:space="preserve">has a paired up+down, and bodies are non-trivially short. (Its prose comment count is stale — see §4 note.)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storage_integration_test.go</w:t>
            </w:r>
          </w:p>
        </w:tc>
        <w:tc>
          <w:tcPr/>
          <w:p>
            <w:pPr>
              <w:pStyle w:val="Compact"/>
            </w:pPr>
            <w:r>
              <w:t xml:space="preserve">integration (real Postgres)</w:t>
            </w:r>
          </w:p>
        </w:tc>
        <w:tc>
          <w:tcPr/>
          <w:p>
            <w:pPr>
              <w:pStyle w:val="Compact"/>
            </w:pPr>
            <w:r>
              <w:t xml:space="preserve">The §107</w:t>
            </w:r>
            <w:r>
              <w:t xml:space="preserve"> </w:t>
            </w:r>
            <w:r>
              <w:rPr>
                <w:b/>
                <w:bCs/>
              </w:rPr>
              <w:t xml:space="preserve">E14</w:t>
            </w:r>
            <w:r>
              <w:t xml:space="preserve"> </w:t>
            </w:r>
            <w:r>
              <w:t xml:space="preserve">tenant-isolation round-trip — the canonical proof that</w:t>
            </w:r>
            <w:r>
              <w:t xml:space="preserve"> </w:t>
            </w:r>
            <w:r>
              <w:rPr>
                <w:rStyle w:val="VerbatimChar"/>
              </w:rPr>
              <w:t xml:space="preserve">WithTenantContext</w:t>
            </w:r>
            <w:r>
              <w:t xml:space="preserve"> </w:t>
            </w:r>
            <w:r>
              <w:t xml:space="preserve">actually isolates tenants (the lesson in §3.3). Requires a running Postgres.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resource_stress_chaos_test.go</w:t>
            </w:r>
          </w:p>
        </w:tc>
        <w:tc>
          <w:tcPr/>
          <w:p>
            <w:pPr>
              <w:pStyle w:val="Compact"/>
            </w:pPr>
            <w:r>
              <w:t xml:space="preserve">stress + chaos (real Postgres)</w:t>
            </w:r>
          </w:p>
        </w:tc>
        <w:tc>
          <w:tcPr/>
          <w:p>
            <w:pPr>
              <w:pStyle w:val="Compact"/>
            </w:pPr>
            <w:r>
              <w:t xml:space="preserve">Sustained/concurrent load + fault injection on the storage layer per §11.4.85.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Unit (no external services):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./commons_storage/...</w:t>
      </w:r>
      <w:r>
        <w:br/>
      </w:r>
      <w:r>
        <w:br/>
      </w:r>
      <w:r>
        <w:rPr>
          <w:rStyle w:val="CommentTok"/>
        </w:rPr>
        <w:t xml:space="preserve"># Integration / stress (needs a real Postgres — e.g. the quickstart stack on :24100):</w:t>
      </w:r>
      <w:r>
        <w:br/>
      </w:r>
      <w:r>
        <w:rPr>
          <w:rStyle w:val="VariableTok"/>
        </w:rPr>
        <w:t xml:space="preserve">HERALD_DB_PASSWORD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VariableTok"/>
        </w:rPr>
        <w:t xml:space="preserve">HERALD_REDIS_PASSWORD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./commons_storage/...</w:t>
      </w:r>
    </w:p>
    <w:p>
      <w:pPr>
        <w:pStyle w:val="FirstParagraph"/>
      </w:pPr>
      <w:r>
        <w:t xml:space="preserve">Integration tests require operator-supplied credentials + a running Postgres (no fakes beyond unit tests, per Universal §11.4.27). See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for the live-test handoff.</w:t>
      </w:r>
    </w:p>
    <w:bookmarkEnd w:id="25"/>
    <w:bookmarkStart w:id="26" w:name="X8241e2c2f4870e183c18f4839d5b00887fbb26d"/>
    <w:p>
      <w:pPr>
        <w:pStyle w:val="Heading2"/>
      </w:pPr>
      <w:r>
        <w:t xml:space="preserve">§13. References</w:t>
      </w:r>
    </w:p>
    <w:p>
      <w:pPr>
        <w:pStyle w:val="Compact"/>
        <w:numPr>
          <w:ilvl w:val="0"/>
          <w:numId w:val="1010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commons_storage/storage.go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commons_storage/postgres.go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commons_storage/migrator.go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commons_storage/migrations/000001..000015_*.sql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CLI:</w:t>
      </w:r>
      <w:r>
        <w:t xml:space="preserve"> </w:t>
      </w:r>
      <w:r>
        <w:rPr>
          <w:rStyle w:val="VerbatimChar"/>
        </w:rPr>
        <w:t xml:space="preserve">pherald/cmd/pherald/migrate.go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 migrate up/status/down/validate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Lifecycle / queue / Redis seam: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commons_infra/clients.go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QuickstartBoot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bg.NewPostgresTaskQueue</w:t>
      </w:r>
      <w:r>
        <w:t xml:space="preserve">, Redis client).</w:t>
      </w:r>
    </w:p>
    <w:p>
      <w:pPr>
        <w:pStyle w:val="Compact"/>
        <w:numPr>
          <w:ilvl w:val="0"/>
          <w:numId w:val="1010"/>
        </w:numPr>
      </w:pPr>
      <w:r>
        <w:t xml:space="preserve">Operator credentials: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Postgres (LIVE)</w:t>
      </w:r>
      <w:r>
        <w:t xml:space="preserve"> </w:t>
      </w:r>
      <w:r>
        <w:t xml:space="preserve">section (env vars, resolution order) +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template at</w:t>
      </w:r>
      <w:r>
        <w:t xml:space="preserve"> </w:t>
      </w:r>
      <w:r>
        <w:rPr>
          <w:rStyle w:val="VerbatimChar"/>
        </w:rPr>
        <w:t xml:space="preserve">quickstart/.env.example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§9.2 (Postgres + Row-Level Security), §9.6 (Database migration tooling — planned surface), §5.3 (Queue backend — Postgres + River default), §16 (tenant isolation), §32 (inbound pipeline tables), §10 (layering).</w:t>
      </w:r>
    </w:p>
    <w:p>
      <w:pPr>
        <w:pStyle w:val="Compact"/>
        <w:numPr>
          <w:ilvl w:val="0"/>
          <w:numId w:val="1010"/>
        </w:numPr>
      </w:pPr>
      <w:r>
        <w:t xml:space="preserve">Tenant-isolation tests:</w:t>
      </w:r>
      <w:r>
        <w:t xml:space="preserve"> </w:t>
      </w:r>
      <w:r>
        <w:rPr>
          <w:rStyle w:val="VerbatimChar"/>
        </w:rPr>
        <w:t xml:space="preserve">commons_storage/storage_integration_test.go</w:t>
      </w:r>
      <w:r>
        <w:t xml:space="preserve"> </w:t>
      </w:r>
      <w:r>
        <w:t xml:space="preserve">(E14) +</w:t>
      </w:r>
      <w:r>
        <w:t xml:space="preserve"> </w:t>
      </w:r>
      <w:r>
        <w:rPr>
          <w:rStyle w:val="VerbatimChar"/>
        </w:rPr>
        <w:t xml:space="preserve">commons_constitution/postgres_integration_test.go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TestPostgresStore_RLSTenantIsolation</w:t>
      </w:r>
      <w:r>
        <w:t xml:space="preserve">, the Trap-A discovery).</w:t>
      </w:r>
    </w:p>
    <w:p>
      <w:pPr>
        <w:pStyle w:val="Compact"/>
        <w:numPr>
          <w:ilvl w:val="0"/>
          <w:numId w:val="1010"/>
        </w:numPr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 </w:t>
      </w:r>
      <w:r>
        <w:t xml:space="preserve">(pgx pool + migration runner,</w:t>
      </w:r>
      <w:r>
        <w:t xml:space="preserve"> </w:t>
      </w:r>
      <w:r>
        <w:rPr>
          <w:rStyle w:val="VerbatimChar"/>
        </w:rPr>
        <w:t xml:space="preserve">../submodules/database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github.com/jackc/pgx/v5 v5.9.2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github.com/redis/go-redis/v9 v9.7.3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github.com/google/uuid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commons_storage/go.mod</w:t>
      </w:r>
      <w:r>
        <w:t xml:space="preserve">).</w:t>
      </w:r>
    </w:p>
    <w:bookmarkEnd w:id="26"/>
    <w:bookmarkStart w:id="2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 source files as of 2026-05-31 (</w:t>
      </w:r>
      <w:r>
        <w:rPr>
          <w:rStyle w:val="VerbatimChar"/>
        </w:rPr>
        <w:t xml:space="preserve">commons_storage/storage.go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postgres.go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migrator.go</w:t>
      </w:r>
      <w:r>
        <w:t xml:space="preserve"> </w:t>
      </w:r>
      <w:r>
        <w:t xml:space="preserve">+ the 15 migration</w:t>
      </w:r>
      <w:r>
        <w:t xml:space="preserve"> </w:t>
      </w:r>
      <w:r>
        <w:rPr>
          <w:rStyle w:val="VerbatimChar"/>
        </w:rPr>
        <w:t xml:space="preserve">.up.sql</w:t>
      </w:r>
      <w:r>
        <w:t xml:space="preserve"> </w:t>
      </w:r>
      <w:r>
        <w:t xml:space="preserve">files;</w:t>
      </w:r>
      <w:r>
        <w:t xml:space="preserve"> </w:t>
      </w:r>
      <w:r>
        <w:rPr>
          <w:rStyle w:val="VerbatimChar"/>
        </w:rPr>
        <w:t xml:space="preserve">pherald/cmd/pherald/migrate.go</w:t>
      </w:r>
      <w:r>
        <w:t xml:space="preserve">;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clients.go</w:t>
      </w:r>
      <w:r>
        <w:t xml:space="preserve">;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The migration count (15:</w:t>
      </w:r>
      <w:r>
        <w:t xml:space="preserve"> </w:t>
      </w:r>
      <w:r>
        <w:rPr>
          <w:rStyle w:val="VerbatimChar"/>
        </w:rPr>
        <w:t xml:space="preserve">000001</w:t>
      </w:r>
      <w:r>
        <w:t xml:space="preserve">..</w:t>
      </w:r>
      <w:r>
        <w:rPr>
          <w:rStyle w:val="VerbatimChar"/>
        </w:rPr>
        <w:t xml:space="preserve">000015</w:t>
      </w:r>
      <w:r>
        <w:t xml:space="preserve">), the role names (</w:t>
      </w:r>
      <w:r>
        <w:rPr>
          <w:rStyle w:val="VerbatimChar"/>
        </w:rPr>
        <w:t xml:space="preserve">herald_migrator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herald_app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LOCAL ROLE</w:t>
      </w:r>
      <w:r>
        <w:t xml:space="preserve"> </w:t>
      </w:r>
      <w:r>
        <w:t xml:space="preserve">E14 lesson, the env-var names (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HERALD_DB_PASSWORD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HERALD_REDIS_PASSWORD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HERALD_DB_PORT=24100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HERALD_REDIS_ADDR=…:24200</w:t>
      </w:r>
      <w:r>
        <w:t xml:space="preserve">), and the live-vs-501</w:t>
      </w:r>
      <w:r>
        <w:t xml:space="preserve"> </w:t>
      </w:r>
      <w:r>
        <w:rPr>
          <w:rStyle w:val="VerbatimChar"/>
        </w:rPr>
        <w:t xml:space="preserve">pherald migrate</w:t>
      </w:r>
      <w:r>
        <w:t xml:space="preserve"> </w:t>
      </w:r>
      <w:r>
        <w:t xml:space="preserve">subcommand split were each read directly from the source cited above. Re-verify on a new migration landing (</w:t>
      </w:r>
      <w:r>
        <w:rPr>
          <w:rStyle w:val="VerbatimChar"/>
        </w:rPr>
        <w:t xml:space="preserve">000016+</w:t>
      </w:r>
      <w:r>
        <w:t xml:space="preserve">), a</w:t>
      </w:r>
      <w:r>
        <w:t xml:space="preserve"> </w:t>
      </w:r>
      <w:r>
        <w:rPr>
          <w:rStyle w:val="VerbatimChar"/>
        </w:rPr>
        <w:t xml:space="preserve">pherald migrate down/validate</w:t>
      </w:r>
      <w:r>
        <w:t xml:space="preserve"> </w:t>
      </w:r>
      <w:r>
        <w:t xml:space="preserve">implementation, or an</w:t>
      </w:r>
      <w:r>
        <w:t xml:space="preserve"> </w:t>
      </w:r>
      <w:r>
        <w:rPr>
          <w:rStyle w:val="VerbatimChar"/>
        </w:rPr>
        <w:t xml:space="preserve">HERALD_*</w:t>
      </w:r>
      <w:r>
        <w:t xml:space="preserve"> </w:t>
      </w:r>
      <w:r>
        <w:t xml:space="preserve">env-var change.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2026-05-31T11:11:03Z</dcterms:created>
  <dcterms:modified xsi:type="dcterms:W3CDTF">2026-05-31T11:11:03Z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