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2"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2026-05-29</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r16: propagated HelixConstitution §11.4.100 (Video color + visual-quality fidelity mandate, 2026-05-28) as a short-form restatement citing the literal anchor</w:t>
            </w:r>
            <w:r>
              <w:rPr>
                <w:b/>
                <w:bCs/>
              </w:rPr>
              <w:t xml:space="preserve"> </w:t>
            </w:r>
            <w:r>
              <w:rPr>
                <w:rStyle w:val="VerbatimChar"/>
                <w:b/>
                <w:bCs/>
              </w:rPr>
              <w:t xml:space="preserve">11.4.100</w:t>
            </w:r>
            <w:r>
              <w:rPr>
                <w:b/>
                <w:bCs/>
              </w:rPr>
              <w:t xml:space="preserve">, inherited per §11.4.35; restated + cited, not redefined. Herald-applicability classification: non-applicable-but-cite (Herald has NO video-playback surface —</w:t>
            </w:r>
            <w:r>
              <w:rPr>
                <w:b/>
                <w:bCs/>
              </w:rPr>
              <w:t xml:space="preserve"> </w:t>
            </w:r>
            <w:r>
              <w:rPr>
                <w:rStyle w:val="VerbatimChar"/>
                <w:b/>
                <w:bCs/>
              </w:rPr>
              <w:t xml:space="preserve">pherald listen</w:t>
            </w:r>
            <w:r>
              <w:rPr>
                <w:b/>
                <w:bCs/>
              </w:rPr>
              <w:t xml:space="preserve"> </w:t>
            </w:r>
            <w:r>
              <w:rPr>
                <w:b/>
                <w:bCs/>
              </w:rP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rPr>
                <w:b/>
                <w:bCs/>
              </w:rPr>
              <w:t xml:space="preserve"> </w:t>
            </w:r>
            <w:r>
              <w:rPr>
                <w:rStyle w:val="VerbatimChar"/>
                <w:b/>
                <w:bCs/>
              </w:rPr>
              <w:t xml:space="preserve">CM-COVENANT-114-100-PROPAGATION</w:t>
            </w:r>
            <w:r>
              <w:rPr>
                <w:b/>
                <w:bCs/>
              </w:rPr>
              <w:t xml:space="preserve"> </w:t>
            </w:r>
            <w:r>
              <w:rPr>
                <w:b/>
                <w:bCs/>
              </w:rP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rPr>
                <w:b/>
                <w:bCs/>
              </w:rPr>
              <w:t xml:space="preserve"> </w:t>
            </w:r>
            <w:r>
              <w:rPr>
                <w:rStyle w:val="VerbatimChar"/>
                <w:b/>
                <w:bCs/>
              </w:rPr>
              <w:t xml:space="preserve">11.4.95</w:t>
            </w:r>
            <w:r>
              <w:rPr>
                <w:b/>
                <w:bCs/>
              </w:rPr>
              <w:t xml:space="preserve">/</w:t>
            </w:r>
            <w:r>
              <w:rPr>
                <w:rStyle w:val="VerbatimChar"/>
                <w:b/>
                <w:bCs/>
              </w:rPr>
              <w:t xml:space="preserve">11.4.96</w:t>
            </w:r>
            <w:r>
              <w:rPr>
                <w:b/>
                <w:bCs/>
              </w:rPr>
              <w:t xml:space="preserve">/</w:t>
            </w:r>
            <w:r>
              <w:rPr>
                <w:rStyle w:val="VerbatimChar"/>
                <w:b/>
                <w:bCs/>
              </w:rPr>
              <w:t xml:space="preserve">11.4.97</w:t>
            </w:r>
            <w:r>
              <w:rPr>
                <w:b/>
                <w:bCs/>
              </w:rPr>
              <w:t xml:space="preserve">, inherited per §11.4.35; restated + cited, not redefined.</w:t>
            </w:r>
            <w:r>
              <w:t xml:space="preserve"> </w:t>
            </w:r>
            <w:r>
              <w:t xml:space="preserve">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2" w:name="X1e70fa44c26b8a178c44df7e7385a7a7ef8def1"/>
    <w:p>
      <w:pPr>
        <w:pStyle w:val="Heading2"/>
      </w:pPr>
      <w:r>
        <w:t xml:space="preserve">Inherited covenant restatements — Helix §11.4.85 / §11.4.87 / §11.4.88 / §11.4.89 / §11.4.90 / §11.4.91 / §11.4.92 / §11.4.93 / §11.4.94 / §11.4.95 / §11.4.96 / §11.4.97 / §11.4.98 / §11.4.99 / §11.4.100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End w:id="32"/>
    <w:bookmarkStart w:id="33"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3"/>
    <w:bookmarkStart w:id="34"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34"/>
    <w:bookmarkStart w:id="35"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35"/>
    <w:bookmarkStart w:id="36"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36"/>
    <w:bookmarkStart w:id="37"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37"/>
    <w:bookmarkStart w:id="38"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38"/>
    <w:bookmarkStart w:id="39"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39"/>
    <w:bookmarkStart w:id="40"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0"/>
    <w:bookmarkStart w:id="41"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2026-05-30T14:33:45Z</dcterms:created>
  <dcterms:modified xsi:type="dcterms:W3CDTF">2026-05-30T14:33:45Z</dcterms:modified>
</cp:coreProperties>
</file>

<file path=docProps/custom.xml><?xml version="1.0" encoding="utf-8"?>
<Properties xmlns="http://schemas.openxmlformats.org/officeDocument/2006/custom-properties" xmlns:vt="http://schemas.openxmlformats.org/officeDocument/2006/docPropsVTypes"/>
</file>