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r17 catches up a week of release-cycle work that the doc had not tracked.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 (in_progress — §42 flavor bindings, live-op surface deferred to Batch C), HRD-029..HRD-056 (many migrating to Fixed in v1.0.0 Batch C closures — see Issues.md r36 for canonical state), HRD-081, HRD-085..HRD-090 (in_progress — Batch D live evidence), HRD-115..HRD-121 (Wave 7 T6-T12 — Slack adapter + multi-channel framework, code-complete per Tasks #206-#212, awaiting Issues→Fixed migration audit), HRD-131 (OPEN-deferred per operator). 3 Obsolete-graduated this session: HRD-143/144/145 (legacy NON-COMPLIANT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r36 — atomic Obsolete graduation of 3 legacy tests landed alongside Wave 8 Track B closure. ~48 in_progress/open rows remain; many of HRD-029..HRD-056 are now closed per Tasks #195-#204 and need atomic Issues→Fixed migration sweep per §11.4.19 (next-session pickup).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HRD-092..HRD-101, HRD-110..HRD-114, HRD-122..HRD-130, HRD-132, HRD-133..HRD-138, HRD-139..HRD-142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r17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13, ~5080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2026-05-30T14:33:48Z</dcterms:created>
  <dcterms:modified xsi:type="dcterms:W3CDTF">2026-05-30T14:33:48Z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