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 — CLAUDE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claude.md"/>
    <w:p>
      <w:pPr>
        <w:pStyle w:val="Heading1"/>
      </w:pPr>
      <w:r>
        <w:t xml:space="preserve">CLAUDE.md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r5: added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(Helix root + 10 submodules had the verbatim mandate; only Herald’s three root docs lacked it).</w:t>
            </w:r>
          </w:p>
        </w:tc>
      </w:tr>
      <w:tr>
        <w:tc>
          <w:tcPr/>
          <w:p>
            <w:pPr>
              <w:pStyle w:val="Compact"/>
            </w:pPr>
            <w:r>
              <w:t xml:space="preserve">Continuation</w:t>
            </w:r>
          </w:p>
        </w:tc>
        <w:tc>
          <w:tcPr/>
          <w:p>
            <w:pPr>
              <w:pStyle w:val="Compact"/>
            </w:pPr>
            <w:r>
              <w:t xml:space="preserve">bump again when first-implementation cycle completes HRD-010..HRD-012/HRD-016 live integrations.</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w:t>
        </w:r>
        <w:r>
          <w:rPr>
            <w:rStyle w:val="Hyperlink"/>
          </w:rPr>
          <w:t xml:space="preserve">“Specification documents”</w:t>
        </w:r>
        <w:r>
          <w:rPr>
            <w:rStyle w:val="Hyperlink"/>
          </w:rPr>
          <w:t xml:space="preserve">)</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r>
        <w:t xml:space="preserve"> </w:t>
      </w:r>
      <w:r>
        <w:t xml:space="preserve">1.</w:t>
      </w:r>
      <w:r>
        <w:t xml:space="preserve"> </w:t>
      </w: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r>
        <w:t xml:space="preserve"> </w:t>
      </w:r>
      <w:r>
        <w:t xml:space="preserve">2.</w:t>
      </w:r>
      <w:r>
        <w:t xml:space="preserve"> </w:t>
      </w:r>
      <w:r>
        <w:rPr>
          <w:rStyle w:val="VerbatimChar"/>
        </w:rPr>
        <w:t xml:space="preserve">&lt;discovered-constitution&gt;/AGENTS.md</w:t>
      </w:r>
      <w:r>
        <w:t xml:space="preserve"> </w:t>
      </w:r>
      <w:r>
        <w:t xml:space="preserve">— agent guardrails (anti-bluff, no-guessing, paired mutations).</w:t>
      </w:r>
      <w:r>
        <w:t xml:space="preserve"> </w:t>
      </w:r>
      <w:r>
        <w:t xml:space="preserve">3.</w:t>
      </w:r>
      <w:r>
        <w:t xml:space="preserve"> </w:t>
      </w:r>
      <w:r>
        <w:rPr>
          <w:rStyle w:val="VerbatimChar"/>
        </w:rPr>
        <w:t xml:space="preserve">README.md</w:t>
      </w:r>
      <w:r>
        <w:t xml:space="preserve"> </w:t>
      </w:r>
      <w:r>
        <w:t xml:space="preserve">— Herald overview + how-to.</w:t>
      </w:r>
      <w:r>
        <w:t xml:space="preserve"> </w:t>
      </w:r>
      <w:r>
        <w:t xml:space="preserve">4. This file (Herald-specific notes below).</w:t>
      </w:r>
      <w:r>
        <w:t xml:space="preserve"> </w:t>
      </w:r>
      <w:r>
        <w:t xml:space="preserve">5.</w:t>
      </w:r>
      <w:r>
        <w:t xml:space="preserve"> </w:t>
      </w:r>
      <w:r>
        <w:rPr>
          <w:rStyle w:val="VerbatimChar"/>
        </w:rPr>
        <w:t xml:space="preserve">docs/guides/HERALD_CONSTITUTION.md</w:t>
      </w:r>
      <w:r>
        <w:t xml:space="preserve"> </w:t>
      </w:r>
      <w:r>
        <w:t xml:space="preserve">— Herald’s project-specific constitutional extensions.</w:t>
      </w:r>
      <w:r>
        <w:t xml:space="preserve"> </w:t>
      </w:r>
      <w:r>
        <w:t xml:space="preserve">6.</w:t>
      </w:r>
      <w:r>
        <w:t xml:space="preserve"> </w:t>
      </w:r>
      <w:r>
        <w:rPr>
          <w:rStyle w:val="VerbatimChar"/>
        </w:rPr>
        <w:t xml:space="preserve">docs/guides/CONSTITUTION_INHERITANCE.md</w:t>
      </w:r>
      <w:r>
        <w:t xml:space="preserve"> </w:t>
      </w:r>
      <w:r>
        <w:t xml:space="preserve">— operator/agent guide for the discovery contract + the inheritance gate.</w:t>
      </w:r>
      <w:r>
        <w:t xml:space="preserve"> </w:t>
      </w:r>
      <w:r>
        <w:t xml:space="preserve">7.</w:t>
      </w:r>
      <w:r>
        <w:t xml:space="preserve"> </w:t>
      </w:r>
      <w:r>
        <w:rPr>
          <w:rStyle w:val="VerbatimChar"/>
        </w:rPr>
        <w:t xml:space="preserve">docs/specs/mvp/specification.V3.md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2"/>
        </w:numPr>
      </w:pPr>
      <w:r>
        <w:rPr>
          <w:rStyle w:val="VerbatimChar"/>
        </w:rPr>
        <w:t xml:space="preserve">README.md</w:t>
      </w:r>
      <w:r>
        <w:t xml:space="preserve"> </w:t>
      </w:r>
      <w:r>
        <w:t xml:space="preserve">— mission, deployment model, inheritance contract, quickstart.</w:t>
      </w:r>
    </w:p>
    <w:p>
      <w:pPr>
        <w:pStyle w:val="Compact"/>
        <w:numPr>
          <w:ilvl w:val="0"/>
          <w:numId w:val="1002"/>
        </w:numPr>
      </w:pPr>
      <w:r>
        <w:rPr>
          <w:rStyle w:val="VerbatimChar"/>
        </w:rPr>
        <w:t xml:space="preserve">docs/specs/mvp/specification.V3.md</w:t>
      </w:r>
      <w:r>
        <w:t xml:space="preserve"> </w:t>
      </w:r>
      <w:r>
        <w:t xml:space="preserve">— MVP spec stub (substantive sections TBD).</w:t>
      </w:r>
    </w:p>
    <w:p>
      <w:pPr>
        <w:pStyle w:val="Compact"/>
        <w:numPr>
          <w:ilvl w:val="0"/>
          <w:numId w:val="1002"/>
        </w:numPr>
      </w:pPr>
      <w:r>
        <w:rPr>
          <w:rStyle w:val="VerbatimChar"/>
        </w:rPr>
        <w:t xml:space="preserve">docs/guides/HERALD_CONSTITUTION.md</w:t>
      </w:r>
      <w:r>
        <w:t xml:space="preserve"> </w:t>
      </w:r>
      <w:r>
        <w:t xml:space="preserve">— Herald’s project constitution (extends Helix).</w:t>
      </w:r>
    </w:p>
    <w:p>
      <w:pPr>
        <w:pStyle w:val="Compact"/>
        <w:numPr>
          <w:ilvl w:val="0"/>
          <w:numId w:val="1002"/>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2"/>
        </w:numPr>
      </w:pPr>
      <w:r>
        <w:rPr>
          <w:rStyle w:val="VerbatimChar"/>
        </w:rPr>
        <w:t xml:space="preserve">upstreams/</w:t>
      </w:r>
      <w:r>
        <w:t xml:space="preserve"> </w:t>
      </w:r>
      <w:r>
        <w:t xml:space="preserve">— Herald’s mirror declarations (see below).</w:t>
      </w:r>
    </w:p>
    <w:p>
      <w:pPr>
        <w:pStyle w:val="Compact"/>
        <w:numPr>
          <w:ilvl w:val="0"/>
          <w:numId w:val="1002"/>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2"/>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3"/>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3"/>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3"/>
        </w:numPr>
      </w:pPr>
      <w:r>
        <w:rPr>
          <w:rStyle w:val="VerbatimChar"/>
        </w:rPr>
        <w:t xml:space="preserve">commons_prefix/</w:t>
      </w:r>
      <w:r>
        <w:t xml:space="preserve"> </w:t>
      </w:r>
      <w:r>
        <w:t xml:space="preserve">— §8.2 3-letter prefix algorithm.</w:t>
      </w:r>
    </w:p>
    <w:p>
      <w:pPr>
        <w:pStyle w:val="Compact"/>
        <w:numPr>
          <w:ilvl w:val="0"/>
          <w:numId w:val="1003"/>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3"/>
        </w:numPr>
      </w:pPr>
      <w:r>
        <w:rPr>
          <w:rStyle w:val="VerbatimChar"/>
        </w:rPr>
        <w:t xml:space="preserve">commons_messaging/channels/tgram/</w:t>
      </w:r>
      <w:r>
        <w:t xml:space="preserve"> </w:t>
      </w:r>
      <w:r>
        <w:t xml:space="preserve">— Telegram adapter SCAFFOLD (HRD-011 open).</w:t>
      </w:r>
    </w:p>
    <w:p>
      <w:pPr>
        <w:pStyle w:val="Compact"/>
        <w:numPr>
          <w:ilvl w:val="0"/>
          <w:numId w:val="1003"/>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3"/>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3"/>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3"/>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3"/>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 7 Herald modules (</w:t>
      </w:r>
      <w:r>
        <w:rPr>
          <w:rStyle w:val="VerbatimChar"/>
        </w:rPr>
        <w:t xml:space="preserve">commons</w:t>
      </w:r>
      <w:r>
        <w:t xml:space="preserv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w:t>
      </w:r>
      <w:r>
        <w:t xml:space="preserve"> </w:t>
      </w:r>
      <w:r>
        <w:t xml:space="preserve">“add a feature”</w:t>
      </w:r>
      <w:r>
        <w:t xml:space="preserve"> </w:t>
      </w:r>
      <w:r>
        <w:t xml:space="preserve">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d6e1ea0563ada85be1ef664ed98b0670f6059f9"/>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w:t>
      </w:r>
      <w:r>
        <w:t xml:space="preserve"> </w:t>
      </w:r>
      <w:r>
        <w:t xml:space="preserve">—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w:t>
      </w:r>
      <w:r>
        <w:t xml:space="preserve"> </w:t>
      </w:r>
      <w:r>
        <w:t xml:space="preserve">“absence-of-error”</w:t>
      </w:r>
      <w:r>
        <w:t xml:space="preserve"> </w:t>
      </w:r>
      <w:r>
        <w:t xml:space="preserve">/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w:t>
      </w:r>
      <w:r>
        <w:t xml:space="preserv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w:t>
      </w:r>
      <w:r>
        <w:t xml:space="preserve"> </w:t>
      </w:r>
      <w:r>
        <w:t xml:space="preserve">“Integration into the Constitution”</w:t>
      </w:r>
      <w:r>
        <w:t xml:space="preserve"> </w:t>
      </w:r>
      <w:r>
        <w:t xml:space="preserve">as a planned section — Herald is intended to plug into a larger governance/policy system that lives outside this repo. Treat that as a real constraint when designing interfaces, even though the details are TBD.</w:t>
      </w:r>
    </w:p>
    <w:bookmarkEnd w:id="14"/>
    <w:bookmarkStart w:id="15"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15"/>
    <w:bookmarkStart w:id="16"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4"/>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4"/>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4"/>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4"/>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16"/>
    <w:bookmarkStart w:id="17"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17"/>
    <w:bookmarkStart w:id="18" w:name="X4c1469daf5bc85ab6a42b99f3c9e09beb5c8e92"/>
    <w:p>
      <w:pPr>
        <w:pStyle w:val="Heading2"/>
      </w:pPr>
      <w:r>
        <w:t xml:space="preserve">Spec-change rule (load-bearing —</w:t>
      </w:r>
      <w:r>
        <w:t xml:space="preserve"> </w:t>
      </w:r>
      <w:r>
        <w:rPr>
          <w:rStyle w:val="VerbatimChar"/>
        </w:rPr>
        <w:t xml:space="preserve">docs/specs/mvp/specification.V3.md</w:t>
      </w:r>
      <w:r>
        <w:t xml:space="preserve"> </w:t>
      </w:r>
      <w:r>
        <w:t xml:space="preserve">§</w:t>
      </w:r>
      <w:r>
        <w:t xml:space="preserve">“Specification documents”</w:t>
      </w:r>
      <w:r>
        <w:t xml:space="preserve">)</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18"/>
    <w:bookmarkStart w:id="19"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docs/specs/mvp/specification.V3.md</w:t>
      </w:r>
      <w:r>
        <w:t xml:space="preserve"> </w:t>
      </w:r>
      <w:r>
        <w:t xml:space="preserve">and are easy to miss because no code enforces them yet:</w:t>
      </w:r>
    </w:p>
    <w:p>
      <w:pPr>
        <w:pStyle w:val="Compact"/>
        <w:numPr>
          <w:ilvl w:val="0"/>
          <w:numId w:val="1005"/>
        </w:numPr>
      </w:pPr>
      <w:r>
        <w:rPr>
          <w:b/>
          <w:bCs/>
        </w:rPr>
        <w:t xml:space="preserve">Workable-item prefix:</w:t>
      </w:r>
      <w:r>
        <w:t xml:space="preserve"> </w:t>
      </w:r>
      <w:r>
        <w:rPr>
          <w:rStyle w:val="VerbatimChar"/>
        </w:rPr>
        <w:t xml:space="preserve">HRD-</w:t>
      </w:r>
      <w:r>
        <w:t xml:space="preserve"> </w:t>
      </w:r>
      <w:r>
        <w:t xml:space="preserve">(e.g. </w:t>
      </w:r>
      <w:r>
        <w:rPr>
          <w:rStyle w:val="VerbatimChar"/>
        </w:rPr>
        <w:t xml:space="preserve">HRD-001</w:t>
      </w:r>
      <w:r>
        <w:t xml:space="preserve">). Use it for issues, status entries, fix logs.</w:t>
      </w:r>
    </w:p>
    <w:p>
      <w:pPr>
        <w:pStyle w:val="Compact"/>
        <w:numPr>
          <w:ilvl w:val="0"/>
          <w:numId w:val="1005"/>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05"/>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05"/>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05"/>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05"/>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05"/>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05"/>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19"/>
    <w:bookmarkStart w:id="20"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20"/>
    <w:bookmarkStart w:id="21"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bookmarkEnd w:id="21"/>
    <w:bookmarkStart w:id="22" w:name="notes-for-future-scaffolding"/>
    <w:p>
      <w:pPr>
        <w:pStyle w:val="Heading2"/>
      </w:pPr>
      <w:r>
        <w:t xml:space="preserve">Notes for future scaffolding</w:t>
      </w:r>
    </w:p>
    <w:p>
      <w:pPr>
        <w:pStyle w:val="Compact"/>
        <w:numPr>
          <w:ilvl w:val="0"/>
          <w:numId w:val="1006"/>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only lists the 7 Herald-owned modules). Do not add them to</w:t>
      </w:r>
      <w:r>
        <w:t xml:space="preserve"> </w:t>
      </w:r>
      <w:r>
        <w:rPr>
          <w:rStyle w:val="VerbatimChar"/>
        </w:rPr>
        <w:t xml:space="preserve">go.work</w:t>
      </w:r>
      <w:r>
        <w:t xml:space="preserve">.</w:t>
      </w:r>
    </w:p>
    <w:p>
      <w:pPr>
        <w:pStyle w:val="Compact"/>
        <w:numPr>
          <w:ilvl w:val="0"/>
          <w:numId w:val="1006"/>
        </w:numPr>
      </w:pPr>
      <w:r>
        <w:t xml:space="preserve">The repo is in</w:t>
      </w:r>
      <w:r>
        <w:t xml:space="preserve"> </w:t>
      </w:r>
      <w:r>
        <w:rPr>
          <w:rStyle w:val="VerbatimChar"/>
        </w:rPr>
        <w:t xml:space="preserve">main</w:t>
      </w:r>
      <w:r>
        <w:t xml:space="preserve"> </w:t>
      </w:r>
      <w:r>
        <w:t xml:space="preserve">branch and committed under</w:t>
      </w:r>
      <w:r>
        <w:t xml:space="preserve"> </w:t>
      </w:r>
      <w:r>
        <w:t xml:space="preserve">“Milos Vasic”</w:t>
      </w:r>
      <w:r>
        <w:t xml:space="preserve"> </w:t>
      </w:r>
      <w:r>
        <w:t xml:space="preserve">— no other contributors yet.</w:t>
      </w:r>
    </w:p>
    <w:p>
      <w:pPr>
        <w:pStyle w:val="Compact"/>
        <w:numPr>
          <w:ilvl w:val="0"/>
          <w:numId w:val="1006"/>
        </w:numPr>
      </w:pPr>
      <w:r>
        <w:rPr>
          <w:rStyle w:val="VerbatimChar"/>
        </w:rPr>
        <w:t xml:space="preserve">.claude/</w:t>
      </w:r>
      <w:r>
        <w:t xml:space="preserve"> </w:t>
      </w:r>
      <w:r>
        <w:t xml:space="preserve">exists but is empty; project-local Claude config can go there.</w:t>
      </w:r>
    </w:p>
    <w:p>
      <w:pPr>
        <w:pStyle w:val="Compact"/>
        <w:numPr>
          <w:ilvl w:val="0"/>
          <w:numId w:val="1006"/>
        </w:numPr>
      </w:pPr>
      <w:r>
        <w:rPr>
          <w:rStyle w:val="VerbatimChar"/>
        </w:rPr>
        <w:t xml:space="preserve">LICENSE</w:t>
      </w:r>
      <w:r>
        <w:t xml:space="preserve"> </w:t>
      </w:r>
      <w:r>
        <w:t xml:space="preserve">is present (do not overwrite without asking).</w:t>
      </w:r>
    </w:p>
    <w:p>
      <w:pPr>
        <w:pStyle w:val="Compact"/>
        <w:numPr>
          <w:ilvl w:val="0"/>
          <w:numId w:val="1006"/>
        </w:numPr>
      </w:pPr>
      <w:r>
        <w:rPr>
          <w:rStyle w:val="VerbatimChar"/>
        </w:rPr>
        <w:t xml:space="preserve">.DS_Store</w:t>
      </w:r>
      <w:r>
        <w:t xml:space="preserve"> </w:t>
      </w:r>
      <w:r>
        <w:t xml:space="preserve">is now git-ignored; do not re-add the previously-stray files.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 — CLAUDE</dc:title>
  <dc:creator/>
  <cp:keywords/>
  <dcterms:created xsi:type="dcterms:W3CDTF">2026-05-21T05:28:35Z</dcterms:created>
  <dcterms:modified xsi:type="dcterms:W3CDTF">2026-05-21T05:28:35Z</dcterms:modified>
</cp:coreProperties>
</file>

<file path=docProps/custom.xml><?xml version="1.0" encoding="utf-8"?>
<Properties xmlns="http://schemas.openxmlformats.org/officeDocument/2006/custom-properties" xmlns:vt="http://schemas.openxmlformats.org/officeDocument/2006/docPropsVTypes"/>
</file>