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 — GEMINI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herald-gemini-dispatcher-setup-guide"/>
    <w:p>
      <w:pPr>
        <w:pStyle w:val="Heading1"/>
      </w:pPr>
      <w:r>
        <w:t xml:space="preserve">Herald — Gemini Dispatcher Setup Guide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  <w:r>
              <w:t xml:space="preserve"> </w:t>
            </w:r>
            <w:r>
              <w:t xml:space="preserve">— HRD-NNN (planned)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ref</w:t>
            </w:r>
          </w:p>
        </w:tc>
        <w:tc>
          <w:tcPr/>
          <w:p>
            <w:pPr>
              <w:pStyle w:val="Compact"/>
            </w:pPr>
            <w:r>
              <w:t xml:space="preserve">V3 §33 (pluggable Dispatcher)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vars (reserved)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HERALD_GEMINI_API_KEY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HERALD_GEMINI_MODEL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gemini-1.5-pro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HERALD_GEMINI_PROJECT_ID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(not yet implemented)</w:t>
            </w:r>
          </w:p>
        </w:tc>
      </w:tr>
    </w:tbl>
    <w:p>
      <w:pPr>
        <w:pStyle w:val="BodyText"/>
      </w:pPr>
      <w:r>
        <w:t xml:space="preserve">Google Gemini via the official Gemini API. Planned for V2/V3. Different request shape than Anthropic API — direct HTTPS + JSON, no CLI.</w:t>
      </w:r>
    </w:p>
    <w:p>
      <w:pPr>
        <w:pStyle w:val="BodyText"/>
      </w:pPr>
      <w:r>
        <w:t xml:space="preserve">This guide is a</w:t>
      </w:r>
      <w:r>
        <w:t xml:space="preserve"> </w:t>
      </w:r>
      <w:r>
        <w:rPr>
          <w:b/>
          <w:bCs/>
        </w:rPr>
        <w:t xml:space="preserve">placeholder</w:t>
      </w:r>
      <w:r>
        <w:t xml:space="preserve">. When the Gemini dispatcher lands as an HRD, this file will expand to the same step-by-step structure as</w:t>
      </w:r>
      <w:r>
        <w:t xml:space="preserve"> </w:t>
      </w:r>
      <w:hyperlink r:id="rId9">
        <w:r>
          <w:rPr>
            <w:rStyle w:val="VerbatimChar"/>
          </w:rPr>
          <w:t xml:space="preserve">CLAUDE_CODE.md</w:t>
        </w:r>
      </w:hyperlink>
      <w:r>
        <w:t xml:space="preserve">: install the CLI/SDK → set env vars → verify session resolution → verify Dispatch round-trip → troubleshooting.</w:t>
      </w:r>
    </w:p>
    <w:bookmarkStart w:id="11" w:name="what-you-can-do-now"/>
    <w:p>
      <w:pPr>
        <w:pStyle w:val="Heading2"/>
      </w:pPr>
      <w:r>
        <w:t xml:space="preserve">What you can do now</w:t>
      </w:r>
    </w:p>
    <w:p>
      <w:pPr>
        <w:pStyle w:val="Compact"/>
        <w:numPr>
          <w:ilvl w:val="0"/>
          <w:numId w:val="1001"/>
        </w:numPr>
      </w:pPr>
      <w:r>
        <w:t xml:space="preserve">Reserve the env-var names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per</w:t>
      </w:r>
      <w:r>
        <w:t xml:space="preserve"> </w:t>
      </w:r>
      <w:hyperlink r:id="rId10">
        <w:r>
          <w:rPr>
            <w:rStyle w:val="VerbatimChar"/>
          </w:rPr>
          <w:t xml:space="preserve">../OPERATOR_CREDENTIALS.md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Dispatcher</w:t>
      </w:r>
      <w:r>
        <w:t xml:space="preserve"> </w:t>
      </w:r>
      <w:r>
        <w:t xml:space="preserve">interface in</w:t>
      </w:r>
      <w:r>
        <w:t xml:space="preserve"> </w:t>
      </w:r>
      <w:r>
        <w:rPr>
          <w:rStyle w:val="VerbatimChar"/>
        </w:rPr>
        <w:t xml:space="preserve">commons_messaging/dispatch/</w:t>
      </w:r>
      <w:r>
        <w:t xml:space="preserve"> </w:t>
      </w:r>
      <w:r>
        <w:t xml:space="preserve">is the seam every new dispatcher implements — see the Claude Code implementation as the reference shape.</w:t>
      </w:r>
    </w:p>
    <w:bookmarkEnd w:id="11"/>
    <w:bookmarkStart w:id="12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VerbatimChar"/>
          </w:rPr>
          <w:t xml:space="preserve">OPERATOR_CREDENTIALS.md</w:t>
        </w:r>
      </w:hyperlink>
      <w:r>
        <w:t xml:space="preserve"> </w:t>
      </w:r>
      <w:r>
        <w:t xml:space="preserve">§</w:t>
      </w:r>
      <w:r>
        <w:t xml:space="preserve">“Alternate LLM dispatchers”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VerbatimChar"/>
          </w:rPr>
          <w:t xml:space="preserve">CLAUDE_CODE.md</w:t>
        </w:r>
      </w:hyperlink>
      <w:r>
        <w:t xml:space="preserve"> </w:t>
      </w:r>
      <w:r>
        <w:t xml:space="preserve">— canonical live-dispatcher guide shape</w:t>
      </w:r>
    </w:p>
    <w:p>
      <w:pPr>
        <w:pStyle w:val="Compact"/>
        <w:numPr>
          <w:ilvl w:val="0"/>
          <w:numId w:val="1002"/>
        </w:numPr>
      </w:pPr>
      <w:r>
        <w:t xml:space="preserve">Spec: V3 §33 (pluggable Dispatcher)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CLAUDE_CO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CLAUDE_CO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 — GEMINI</dc:title>
  <dc:creator/>
  <cp:keywords/>
  <dcterms:created xsi:type="dcterms:W3CDTF">2026-05-21T05:57:07Z</dcterms:created>
  <dcterms:modified xsi:type="dcterms:W3CDTF">2026-05-21T05:57:07Z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