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EMAIL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X99dd4da54cb3ad8770cecc86c6754c0a3c7901a"/>
    <w:p>
      <w:pPr>
        <w:pStyle w:val="Heading1"/>
      </w:pPr>
      <w:r>
        <w:t xml:space="preserve">Herald — Email (SMTP + Resend) Channel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§11.4 + §11.9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HERALD_SMTP_FROM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HERALD_RESEND_API_KEY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HERALD_RESEND_FROM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Email is planned for V2. Two backends will be supported: raw SMTP (any provider — Postmark, SES, etc.) and Resend (transactional email API). Choose ONE based on your infra. The mailto:// adapter URL form encodes the destination address.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Email (SMTP + Resend)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Email (SMTP + Resend)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Email (SMTP + Resend) lands)</w:t>
      </w:r>
    </w:p>
    <w:p>
      <w:pPr>
        <w:pStyle w:val="Compact"/>
        <w:numPr>
          <w:ilvl w:val="0"/>
          <w:numId w:val="1002"/>
        </w:numPr>
      </w:pPr>
      <w:r>
        <w:t xml:space="preserve">Spec: V3 §11.4 + §11.9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EMAIL</dc:title>
  <dc:creator/>
  <cp:keywords/>
  <dcterms:created xsi:type="dcterms:W3CDTF">2026-05-21T05:57:01Z</dcterms:created>
  <dcterms:modified xsi:type="dcterms:W3CDTF">2026-05-21T05:57:01Z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