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Issues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Spec V3 r6 adds §43 Constitution-derived flavor commands + workflows (27 entries). HRD-029..HRD-056 opened to track each command's implementation. Combined with HRD-018..HRD-028 from r5, the constitution-flavor integration plan now spans 39 workable items rolled out in 4 implementation waves.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45 open / in-progress workable items across quickstart validation, live channel integrations, REST surface, the §42 binding rollout, and the §43 command-catalogue 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(golang-migrate driver, pgx pool, River queue, Redis ACL)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no-match (2026-05-20) — golang-migrate is the standard, not a vasic/Helix-owned 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(telebot SDK + getUpdates long-poll + webhook secret_token)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§33;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Issues</dc:title>
  <dc:creator/>
  <cp:keywords/>
  <dcterms:created xsi:type="dcterms:W3CDTF">2026-05-20T11:49:03Z</dcterms:created>
  <dcterms:modified xsi:type="dcterms:W3CDTF">2026-05-20T11:49:03Z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