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Status</w:t>
      </w:r>
    </w:p>
    <w:bookmarkStart w:id="15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Foundation design (Sub-project 1) approved + locked. Three-milestone vertical-slice approach across M1/M2/M3. Catalogue-Check survey complete:</w:t>
            </w:r>
            <w:r>
              <w:t xml:space="preserve"> </w:t>
            </w:r>
            <w:r>
              <w:rPr>
                <w:b/>
                <w:bCs/>
              </w:rPr>
              <w:t xml:space="preserve">9 of 12 capabilities map to existing Helix-stack modules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 </w:t>
            </w:r>
            <w:r>
              <w:t xml:space="preserve">replaces River;</w:t>
            </w:r>
            <w:r>
              <w:t xml:space="preserve"> 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 </w:t>
            </w:r>
            <w:r>
              <w:t xml:space="preserve">replaces Watermill;</w:t>
            </w:r>
            <w:r>
              <w:t xml:space="preserve"> 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 </w:t>
            </w:r>
            <w:r>
              <w:t xml:space="preserve">compose the Gin/JWT/OTel layer;</w:t>
            </w:r>
            <w:r>
              <w:t xml:space="preserve"> 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 </w:t>
            </w:r>
            <w:r>
              <w:t xml:space="preserve">provides pgx + migrations;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 </w:t>
            </w:r>
            <w:r>
              <w:t xml:space="preserve">provides Redis). Bespoke parts (Evaluator + BundleHash + ModeLadder): write new under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. M1 implementation next.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 (in_progress), HRD-019..HRD-028,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scaffold: integrate 9</w:t>
            </w:r>
            <w:r>
              <w:t xml:space="preserve"> </w:t>
            </w:r>
            <w:r>
              <w:rPr>
                <w:rStyle w:val="VerbatimChar"/>
              </w:rPr>
              <w:t xml:space="preserve">digital.vasic.*</w:t>
            </w:r>
            <w:r>
              <w:t xml:space="preserve"> </w:t>
            </w:r>
            <w:r>
              <w:t xml:space="preserve">submodules under</w:t>
            </w:r>
            <w:r>
              <w:t xml:space="preserve"> </w:t>
            </w:r>
            <w:r>
              <w:rPr>
                <w:rStyle w:val="VerbatimChar"/>
              </w:rPr>
              <w:t xml:space="preserve">submodules/</w:t>
            </w:r>
            <w:r>
              <w:t xml:space="preserve">; write bespoke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package (Evaluator + 12 emit helpers + BundleHash + ModeLadder + in-memory ConstitutionStore); verify M1 smoke (in-process evaluator → transition → emit → memory pubsub listener counts). Then M2 (Postgres + background queue) then M3 (Gin REST + Redis). Each milestone followed by multi-mirror push.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Implementation-r1.</w:t>
      </w:r>
      <w:r>
        <w:t xml:space="preserve"> </w:t>
      </w:r>
      <w:r>
        <w:t xml:space="preserve">Spec V3 r4 is complete + the Go module foundation compiles. The remaining cycle is wiring live integrations and validating the §26.5 quickstart end-to-end.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4, 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sections this cycle: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River + Redis wiring pending HRD-010.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commons_security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spec §15 ready. HRD-018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commons_observability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OTel wiring per §17. HRD-019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commons_diary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spec §19 — fsnotify + Pandoc-WeasyPrint sync. HRD-020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Cobra root + version subcommand work end-to-end; serve/send/doctor/migrate/subscriber/deadletter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flavors (sherald/bherald/…)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scaffold once pherald end-to-end runs the quickstart compose.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Go-scaffold commits.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t xml:space="preserve">12 PASS / 0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none yet (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is a local directory in this commit; will migrate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when HRD-008 validation passes and the submodule is created).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1.22+, Pandoc 3.9, WeasyPrint 66, Podman 5.8 — verified locally.</w:t>
      </w:r>
    </w:p>
    <w:bookmarkEnd w:id="13"/>
    <w:bookmarkStart w:id="14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Before scaffolding more modules, Herald work MUST audit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orgs (GitHub + GitLab) for reusable Submodules — pending in the upcoming constitution-submodule mandate.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we're at Revision 4 within V3; the next "minor" addition continues incrementing Revision;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integrations untested.</w:t>
      </w:r>
      <w:r>
        <w:t xml:space="preserve"> </w:t>
      </w:r>
      <w:r>
        <w:t xml:space="preserve">HRD-008 quickstart compose hasn't been verified end-to-end on a fresh laptop yet — that's the next concrete operator-driven validation.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Code session model.</w:t>
      </w:r>
      <w:r>
        <w:t xml:space="preserve"> </w:t>
      </w:r>
      <w:r>
        <w:t xml:space="preserve">§33.2 anchor file pattern hasn't been validated against the live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binary yet; HRD-012 will deliver that evidence.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manually for now.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Status</dc:title>
  <dc:creator/>
  <cp:keywords/>
  <dcterms:created xsi:type="dcterms:W3CDTF">2026-05-20T11:49:04Z</dcterms:created>
  <dcterms:modified xsi:type="dcterms:W3CDTF">2026-05-20T11:49:04Z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