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p>
      <w:pPr>
        <w:pStyle w:val="FirstParagraph"/>
      </w:pPr>
      <w:r>
        <w:drawing>
          <wp:inline>
            <wp:extent cx="1625600" cy="1625600"/>
            <wp:effectExtent b="0" l="0" r="0" t="0"/>
            <wp:docPr descr="Herald" title="" id="10" name="Picture"/>
            <a:graphic>
              <a:graphicData uri="http://schemas.openxmlformats.org/drawingml/2006/picture">
                <pic:pic>
                  <pic:nvPicPr>
                    <pic:cNvPr descr="../../assets/logo/herald_logo_square_128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25600" cy="162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{width=96px height=96px}</w:t>
      </w:r>
    </w:p>
    <w:bookmarkStart w:id="15" w:name="catalogue-check--hrd-099-commons_auth"/>
    <w:p>
      <w:pPr>
        <w:pStyle w:val="Heading1"/>
      </w:pPr>
      <w:r>
        <w:t xml:space="preserve">Catalogue-Check — HRD-099 commons_auth/</w:t>
      </w:r>
    </w:p>
    <w:p>
      <w:pPr>
        <w:pStyle w:val="BlockText"/>
      </w:pPr>
      <w:r>
        <w:rPr>
          <w:b/>
          <w:bCs/>
        </w:rPr>
        <w:t xml:space="preserve">Renumbered 2026-05-21</w:t>
      </w:r>
      <w:r>
        <w:t xml:space="preserve">: Originally tracked as HRD-093 during Wave 3a design + implementation; renumbered to HRD-099 in the post-Wave-3a doc-cleanup pass to resolve a collision with Wave 2's HRD-093 (sherald flavor scaffold, commit</w:t>
      </w:r>
      <w:r>
        <w:t xml:space="preserve"> </w:t>
      </w:r>
      <w:r>
        <w:rPr>
          <w:rStyle w:val="VerbatimChar"/>
        </w:rPr>
        <w:t xml:space="preserve">6145cec</w:t>
      </w:r>
      <w:r>
        <w:t xml:space="preserve">). All Wave 3a commits (</w:t>
      </w:r>
      <w:r>
        <w:rPr>
          <w:rStyle w:val="VerbatimChar"/>
        </w:rPr>
        <w:t xml:space="preserve">dbbea95..0cc6fad</w:t>
      </w:r>
      <w:r>
        <w:t xml:space="preserve">) still reference HRD-093 in their messages — that's the executing-time history; HRD-099 is the canonical anchor going forward.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2026-05-21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Target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commons_auth/</w:t>
            </w:r>
            <w:r>
              <w:t xml:space="preserve"> </w:t>
            </w:r>
            <w:r>
              <w:t xml:space="preserve">(JWT verifier + Gin middleware)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Orgs queried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vasic-digital/*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HelixDevelopment/*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Verdict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no-match → vendor as Herald-internal package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Evidence commits</w:t>
            </w:r>
          </w:p>
        </w:tc>
        <w:tc>
          <w:tcPr/>
          <w:p>
            <w:pPr>
              <w:pStyle w:val="Compact"/>
            </w:pPr>
            <w:r>
              <w:t xml:space="preserve">Wave 3a task 1 (commit</w:t>
            </w:r>
            <w:r>
              <w:t xml:space="preserve"> </w:t>
            </w:r>
            <w:r>
              <w:rPr>
                <w:rStyle w:val="VerbatimChar"/>
              </w:rPr>
              <w:t xml:space="preserve">dbbea95</w:t>
            </w:r>
            <w:r>
              <w:t xml:space="preserve">)</w:t>
            </w:r>
          </w:p>
        </w:tc>
      </w:tr>
    </w:tbl>
    <w:bookmarkStart w:id="12" w:name="search-performed"/>
    <w:p>
      <w:pPr>
        <w:pStyle w:val="Heading2"/>
      </w:pPr>
      <w:r>
        <w:t xml:space="preserve">Search performed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gh search repos --owner=vasic-digital --owner=HelixDevelopment 'jwt jwks gin' --limit 30</w:t>
      </w:r>
      <w:r>
        <w:t xml:space="preserve"> </w:t>
      </w:r>
      <w:r>
        <w:t xml:space="preserve">→ 0 hits with JWT+JWKS+Gin middleware shape.</w:t>
      </w:r>
    </w:p>
    <w:p>
      <w:pPr>
        <w:pStyle w:val="Compact"/>
        <w:numPr>
          <w:ilvl w:val="0"/>
          <w:numId w:val="1001"/>
        </w:numPr>
      </w:pPr>
      <w:r>
        <w:t xml:space="preserve">Reviewed</w:t>
      </w:r>
      <w:r>
        <w:t xml:space="preserve"> </w:t>
      </w:r>
      <w:r>
        <w:rPr>
          <w:rStyle w:val="VerbatimChar"/>
        </w:rPr>
        <w:t xml:space="preserve">digital.vasic.auth</w:t>
      </w:r>
      <w:r>
        <w:t xml:space="preserve"> </w:t>
      </w:r>
      <w:r>
        <w:t xml:space="preserve">(</w:t>
      </w:r>
      <w:r>
        <w:rPr>
          <w:rStyle w:val="VerbatimChar"/>
        </w:rPr>
        <w:t xml:space="preserve">submodules/auth/pkg/jwt/jwt.go</w:t>
      </w:r>
      <w:r>
        <w:t xml:space="preserve">) — provides a single-secret HS-only</w:t>
      </w:r>
      <w:r>
        <w:t xml:space="preserve"> </w:t>
      </w:r>
      <w:r>
        <w:rPr>
          <w:rStyle w:val="VerbatimChar"/>
        </w:rPr>
        <w:t xml:space="preserve">Manager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Create</w:t>
      </w:r>
      <w:r>
        <w:t xml:space="preserve">/</w:t>
      </w:r>
      <w:r>
        <w:rPr>
          <w:rStyle w:val="VerbatimChar"/>
        </w:rPr>
        <w:t xml:space="preserve">Validate</w:t>
      </w:r>
      <w:r>
        <w:t xml:space="preserve">/</w:t>
      </w:r>
      <w:r>
        <w:rPr>
          <w:rStyle w:val="VerbatimChar"/>
        </w:rPr>
        <w:t xml:space="preserve">Refresh</w:t>
      </w:r>
      <w:r>
        <w:t xml:space="preserve"> </w:t>
      </w:r>
      <w:r>
        <w:t xml:space="preserve">methods. NOT a JWT verification middleware. No JWKS, no Redis cache, no Gin handler, no rotation-race re-fetch.</w:t>
      </w:r>
    </w:p>
    <w:bookmarkEnd w:id="12"/>
    <w:bookmarkStart w:id="13" w:name="verdict-rationale"/>
    <w:p>
      <w:pPr>
        <w:pStyle w:val="Heading2"/>
      </w:pPr>
      <w:r>
        <w:t xml:space="preserve">Verdict rationale</w:t>
      </w:r>
    </w:p>
    <w:p>
      <w:pPr>
        <w:pStyle w:val="FirstParagraph"/>
      </w:pPr>
      <w:r>
        <w:t xml:space="preserve">No existing module in our orgs provides the exact triple Herald needs:</w:t>
      </w:r>
    </w:p>
    <w:p>
      <w:pPr>
        <w:pStyle w:val="Compact"/>
        <w:numPr>
          <w:ilvl w:val="0"/>
          <w:numId w:val="1002"/>
        </w:numPr>
      </w:pPr>
      <w:r>
        <w:t xml:space="preserve">HS256 AND RS256/ES256 verification in a single</w:t>
      </w:r>
      <w:r>
        <w:t xml:space="preserve"> </w:t>
      </w:r>
      <w:r>
        <w:rPr>
          <w:rStyle w:val="VerbatimChar"/>
        </w:rPr>
        <w:t xml:space="preserve">Verifier</w:t>
      </w:r>
      <w:r>
        <w:t xml:space="preserve"> </w:t>
      </w:r>
      <w:r>
        <w:t xml:space="preserve">interface</w:t>
      </w:r>
    </w:p>
    <w:p>
      <w:pPr>
        <w:pStyle w:val="Compact"/>
        <w:numPr>
          <w:ilvl w:val="0"/>
          <w:numId w:val="1002"/>
        </w:numPr>
      </w:pPr>
      <w:r>
        <w:t xml:space="preserve">JWKS HTTPS fetch with Redis cache + in-memory fallback + rotation-race re-fetch</w:t>
      </w:r>
    </w:p>
    <w:p>
      <w:pPr>
        <w:pStyle w:val="Compact"/>
        <w:numPr>
          <w:ilvl w:val="0"/>
          <w:numId w:val="1002"/>
        </w:numPr>
      </w:pPr>
      <w:r>
        <w:t xml:space="preserve">Gin middleware factory that stores claims into request context under a documented key</w:t>
      </w:r>
    </w:p>
    <w:p>
      <w:pPr>
        <w:pStyle w:val="FirstParagraph"/>
      </w:pPr>
      <w:r>
        <w:rPr>
          <w:rStyle w:val="VerbatimChar"/>
        </w:rPr>
        <w:t xml:space="preserve">digital.vasic.auth/pkg/jwt</w:t>
      </w:r>
      <w:r>
        <w:t xml:space="preserve"> </w:t>
      </w:r>
      <w:r>
        <w:t xml:space="preserve">covers ~30% of (1) only; (2) and (3) are unimplemented. Forking + extending would mix Herald-specific opinions (Redis cache key prefix</w:t>
      </w:r>
      <w:r>
        <w:t xml:space="preserve"> </w:t>
      </w:r>
      <w:r>
        <w:rPr>
          <w:rStyle w:val="VerbatimChar"/>
        </w:rPr>
        <w:t xml:space="preserve">herald:auth:jwks:</w:t>
      </w:r>
      <w:r>
        <w:t xml:space="preserve">, claim-shape</w:t>
      </w:r>
      <w:r>
        <w:t xml:space="preserve"> </w:t>
      </w:r>
      <w:r>
        <w:rPr>
          <w:rStyle w:val="VerbatimChar"/>
        </w:rPr>
        <w:t xml:space="preserve">tenant</w:t>
      </w:r>
      <w:r>
        <w:t xml:space="preserve">+</w:t>
      </w:r>
      <w:r>
        <w:rPr>
          <w:rStyle w:val="VerbatimChar"/>
        </w:rPr>
        <w:t xml:space="preserve">sub</w:t>
      </w:r>
      <w:r>
        <w:t xml:space="preserve">) into a project-neutral submodule — which CONST-051(B) forbids. Vendoring as Herald-internal</w:t>
      </w:r>
      <w:r>
        <w:t xml:space="preserve"> </w:t>
      </w:r>
      <w:r>
        <w:rPr>
          <w:rStyle w:val="VerbatimChar"/>
        </w:rPr>
        <w:t xml:space="preserve">commons_auth/</w:t>
      </w:r>
      <w:r>
        <w:t xml:space="preserve"> </w:t>
      </w:r>
      <w:r>
        <w:t xml:space="preserve">is the correct choice.</w:t>
      </w:r>
    </w:p>
    <w:p>
      <w:pPr>
        <w:pStyle w:val="BodyText"/>
      </w:pPr>
      <w:r>
        <w:t xml:space="preserve">When the Herald project later identifies primitives general enough to lift back, we can promote them upstream per §11.4.35 with an explicit</w:t>
      </w:r>
      <w:r>
        <w:t xml:space="preserve"> </w:t>
      </w:r>
      <w:r>
        <w:rPr>
          <w:rStyle w:val="VerbatimChar"/>
        </w:rPr>
        <w:t xml:space="preserve">Lifted from herald to digital.vasic.auth per §11.4.35</w:t>
      </w:r>
      <w:r>
        <w:t xml:space="preserve"> </w:t>
      </w:r>
      <w:r>
        <w:t xml:space="preserve">commit annotation.</w:t>
      </w:r>
    </w:p>
    <w:bookmarkEnd w:id="13"/>
    <w:bookmarkStart w:id="14" w:name="public-surface"/>
    <w:p>
      <w:pPr>
        <w:pStyle w:val="Heading2"/>
      </w:pPr>
      <w:r>
        <w:t xml:space="preserve">Public surface</w:t>
      </w:r>
    </w:p>
    <w:p>
      <w:pPr>
        <w:pStyle w:val="FirstParagraph"/>
      </w:pPr>
      <w:r>
        <w:t xml:space="preserve">See</w:t>
      </w:r>
      <w:r>
        <w:t xml:space="preserve"> </w:t>
      </w:r>
      <w:r>
        <w:rPr>
          <w:rStyle w:val="VerbatimChar"/>
        </w:rPr>
        <w:t xml:space="preserve">commons_auth/verifier.go</w:t>
      </w:r>
      <w:r>
        <w:t xml:space="preserve"> </w:t>
      </w:r>
      <w:r>
        <w:t xml:space="preserve">Verifier interface + Config struct,</w:t>
      </w:r>
      <w:r>
        <w:t xml:space="preserve"> </w:t>
      </w:r>
      <w:r>
        <w:rPr>
          <w:rStyle w:val="VerbatimChar"/>
        </w:rPr>
        <w:t xml:space="preserve">commons_auth/middleware.go</w:t>
      </w:r>
      <w:r>
        <w:t xml:space="preserve"> </w:t>
      </w:r>
      <w:r>
        <w:t xml:space="preserve">GinMiddleware,</w:t>
      </w:r>
      <w:r>
        <w:t xml:space="preserve"> </w:t>
      </w:r>
      <w:r>
        <w:rPr>
          <w:rStyle w:val="VerbatimChar"/>
        </w:rPr>
        <w:t xml:space="preserve">commons_auth/claims.go</w:t>
      </w:r>
      <w:r>
        <w:t xml:space="preserve"> </w:t>
      </w:r>
      <w:r>
        <w:t xml:space="preserve">TenantFromClaims/SubjectFromClaims helpers.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2026-05-21T16:52:35Z</dcterms:created>
  <dcterms:modified xsi:type="dcterms:W3CDTF">2026-05-21T16:52:35Z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