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23" w:name="claudemd"/>
    <w:p>
      <w:pPr>
        <w:pStyle w:val="Heading1"/>
      </w:pPr>
      <w:r>
        <w:t xml:space="preserve">CLAUDE.md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8</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2026-05-22</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r8: Wave 4b (TOON</w:t>
            </w:r>
            <w:r>
              <w:t xml:space="preserve"> </w:t>
            </w:r>
            <w:r>
              <w:rPr>
                <w:rStyle w:val="VerbatimChar"/>
              </w:rPr>
              <w:t xml:space="preserve">application/toon</w:t>
            </w:r>
            <w:r>
              <w:t xml:space="preserve"> </w:t>
            </w:r>
            <w:r>
              <w:t xml:space="preserve">content negotiation) status pointer added; tag v0.3.0. Every</w:t>
            </w:r>
            <w:r>
              <w:t xml:space="preserve"> </w:t>
            </w:r>
            <w:r>
              <w:rPr>
                <w:rStyle w:val="VerbatimChar"/>
              </w:rPr>
              <w:t xml:space="preserve">/v1/*</w:t>
            </w:r>
            <w:r>
              <w:t xml:space="preserve"> </w:t>
            </w:r>
            <w:r>
              <w:t xml:space="preserve">business route honors</w:t>
            </w:r>
            <w:r>
              <w:t xml:space="preserve"> </w:t>
            </w:r>
            <w:r>
              <w:rPr>
                <w:rStyle w:val="VerbatimChar"/>
              </w:rPr>
              <w:t xml:space="preserve">Accept: application/toon</w:t>
            </w:r>
            <w:r>
              <w:t xml:space="preserve"> </w:t>
            </w:r>
            <w:r>
              <w:t xml:space="preserve">→ real TOON-encoded body via</w:t>
            </w:r>
            <w:r>
              <w:t xml:space="preserve"> </w:t>
            </w:r>
            <w:r>
              <w:rPr>
                <w:rStyle w:val="VerbatimChar"/>
              </w:rPr>
              <w:t xml:space="preserve">digital.vasic.toon</w:t>
            </w:r>
            <w:r>
              <w:t xml:space="preserve"> </w:t>
            </w:r>
            <w:r>
              <w:t xml:space="preserve">+</w:t>
            </w:r>
            <w:r>
              <w:t xml:space="preserve"> </w:t>
            </w:r>
            <w:r>
              <w:rPr>
                <w:rStyle w:val="VerbatimChar"/>
              </w:rPr>
              <w:t xml:space="preserve">toon-format/toon-go</w:t>
            </w:r>
            <w:r>
              <w:t xml:space="preserve"> </w:t>
            </w:r>
            <w:r>
              <w:t xml:space="preserve">upstream. Workspace module count unchanged at 15 (Wave 4a added commons_tls; Wave 4b added no module — TOON glue lives in commons/cli/). E2e at 61 invariants (E1..E62; E55+E62 SKIP-with-reason). Mutation gates: 4 (W2) + 3+SKIPs (W3) + 4 (W4a) + 5 (W4b) = 16 paired gates. Prior r7: workspace module count corrected 7 → 14. Prior r5/r6: §107 End-user-usability covenant section restating the verbatim operator mandate at Herald level + ToC entry; ties to HERALD_CONSTITUTION.md §107 + inheritance-gate invariant I8a (paired with I8b/c on AGENTS.md + HERALD_CONSTITUTION.md).</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spec-path references (r2), pre-implementation-language update (r3), submodules + HRD-docs + codegraph-index enumeration (r4), §107 mandate restatement + I8a anchor (r5), Wave-2/3a workspace-module-count refresh (r7), Wave 4a + 4b status pointer + e2e/mutation tally refresh (r8)</w:t>
            </w:r>
          </w:p>
        </w:tc>
      </w:tr>
      <w:tr>
        <w:tc>
          <w:tcPr/>
          <w:p>
            <w:pPr>
              <w:pStyle w:val="Compact"/>
            </w:pPr>
            <w:r>
              <w:t xml:space="preserve">Fixed summary</w:t>
            </w:r>
          </w:p>
        </w:tc>
        <w:tc>
          <w:tcPr/>
          <w:p>
            <w:pPr>
              <w:pStyle w:val="Compact"/>
            </w:pPr>
            <w:r>
              <w:t xml:space="preserve">aligned with HRD-009/HRD-009b/HRD-013/HRD-014 landing in the same commit; r4 closes the discoverability gaps observed during a fresh</w:t>
            </w:r>
            <w:r>
              <w:t xml:space="preserve"> </w:t>
            </w:r>
            <w:r>
              <w:rPr>
                <w:rStyle w:val="VerbatimChar"/>
              </w:rPr>
              <w:t xml:space="preserve">/init</w:t>
            </w:r>
            <w:r>
              <w:t xml:space="preserve"> </w:t>
            </w:r>
            <w:r>
              <w:t xml:space="preserve">review; r5 closes the Herald-level explicit-restatement gap identified by the 2026-05-20 audit; r7 closes the doc drift observed during the Wave 3a final review; r8 records the Wave 4a→4b transport/wire-format substrate upgrades.</w:t>
            </w:r>
          </w:p>
        </w:tc>
      </w:tr>
      <w:tr>
        <w:tc>
          <w:tcPr/>
          <w:p>
            <w:pPr>
              <w:pStyle w:val="Compact"/>
            </w:pPr>
            <w:r>
              <w:t xml:space="preserve">Continuation</w:t>
            </w:r>
          </w:p>
        </w:tc>
        <w:tc>
          <w:tcPr/>
          <w:p>
            <w:pPr>
              <w:pStyle w:val="Compact"/>
            </w:pPr>
            <w:r>
              <w:t xml:space="preserve">bump again when QA workstream completes (</w:t>
            </w:r>
            <w:r>
              <w:rPr>
                <w:rStyle w:val="VerbatimChar"/>
              </w:rPr>
              <w:t xml:space="preserve">docs/qa/</w:t>
            </w:r>
            <w:r>
              <w:t xml:space="preserve"> </w:t>
            </w:r>
            <w:r>
              <w:t xml:space="preserve">evidence mandate + qaherald binary + v1.0.0-dev-0.0.1 release tag) and Wave 3c carry-over lands (HRD-024 iherald paging, HRD-033 destructive-guard body, remaining HRD-018..028 constitution bindings, §43 command catalogue HRD-029..056).</w:t>
            </w:r>
          </w:p>
        </w:tc>
      </w:tr>
    </w:tbl>
    <w:bookmarkStart w:id="9" w:name="table-of-contents"/>
    <w:p>
      <w:pPr>
        <w:pStyle w:val="Heading2"/>
      </w:pPr>
      <w:r>
        <w:t xml:space="preserve">Table of contents</w:t>
      </w:r>
    </w:p>
    <w:p>
      <w:pPr>
        <w:pStyle w:val="Compact"/>
        <w:numPr>
          <w:ilvl w:val="0"/>
          <w:numId w:val="1001"/>
        </w:numPr>
      </w:pPr>
      <w:hyperlink w:anchor="X79ca5eb866ac9da45bc7b855edaa030da827c63">
        <w:r>
          <w:rPr>
            <w:rStyle w:val="Hyperlink"/>
          </w:rPr>
          <w:t xml:space="preserve">INHERITED FROM Helix Constitution (parent-discovery)</w:t>
        </w:r>
      </w:hyperlink>
    </w:p>
    <w:p>
      <w:pPr>
        <w:pStyle w:val="Compact"/>
        <w:numPr>
          <w:ilvl w:val="0"/>
          <w:numId w:val="1001"/>
        </w:numPr>
      </w:pPr>
      <w:hyperlink w:anchor="project-status">
        <w:r>
          <w:rPr>
            <w:rStyle w:val="Hyperlink"/>
          </w:rPr>
          <w:t xml:space="preserve">Project status</w:t>
        </w:r>
      </w:hyperlink>
    </w:p>
    <w:p>
      <w:pPr>
        <w:pStyle w:val="Compact"/>
        <w:numPr>
          <w:ilvl w:val="0"/>
          <w:numId w:val="1001"/>
        </w:numPr>
      </w:pPr>
      <w:hyperlink w:anchor="X113e14c17c8dcbc428318fbd14b02ebb01d29ca">
        <w:r>
          <w:rPr>
            <w:rStyle w:val="Hyperlink"/>
          </w:rPr>
          <w:t xml:space="preserve">End-user-usability covenant (Herald §107 / Helix §11.4 — MANDATORY ANTI-BLUFF)</w:t>
        </w:r>
      </w:hyperlink>
    </w:p>
    <w:p>
      <w:pPr>
        <w:pStyle w:val="Compact"/>
        <w:numPr>
          <w:ilvl w:val="0"/>
          <w:numId w:val="1001"/>
        </w:numPr>
      </w:pPr>
      <w:hyperlink w:anchor="mission-from-the-spec">
        <w:r>
          <w:rPr>
            <w:rStyle w:val="Hyperlink"/>
          </w:rPr>
          <w:t xml:space="preserve">Mission (from the spec)</w:t>
        </w:r>
      </w:hyperlink>
    </w:p>
    <w:p>
      <w:pPr>
        <w:pStyle w:val="Compact"/>
        <w:numPr>
          <w:ilvl w:val="0"/>
          <w:numId w:val="1001"/>
        </w:numPr>
      </w:pPr>
      <w:hyperlink w:anchor="intended-stack">
        <w:r>
          <w:rPr>
            <w:rStyle w:val="Hyperlink"/>
          </w:rPr>
          <w:t xml:space="preserve">Intended stack</w:t>
        </w:r>
      </w:hyperlink>
    </w:p>
    <w:p>
      <w:pPr>
        <w:pStyle w:val="Compact"/>
        <w:numPr>
          <w:ilvl w:val="0"/>
          <w:numId w:val="1001"/>
        </w:numPr>
      </w:pPr>
      <w:hyperlink w:anchor="multi-host-mirror-convention">
        <w:r>
          <w:rPr>
            <w:rStyle w:val="Hyperlink"/>
          </w:rPr>
          <w:t xml:space="preserve">Multi-host mirror convention</w:t>
        </w:r>
      </w:hyperlink>
    </w:p>
    <w:p>
      <w:pPr>
        <w:pStyle w:val="Compact"/>
        <w:numPr>
          <w:ilvl w:val="0"/>
          <w:numId w:val="1001"/>
        </w:numPr>
      </w:pPr>
      <w:hyperlink w:anchor="X81ca6bc650b2a73abee076663d5efd898631acb">
        <w:r>
          <w:rPr>
            <w:rStyle w:val="Hyperlink"/>
          </w:rPr>
          <w:t xml:space="preserve">Inheritance gate (run before any commit touching root docs)</w:t>
        </w:r>
      </w:hyperlink>
    </w:p>
    <w:p>
      <w:pPr>
        <w:pStyle w:val="Compact"/>
        <w:numPr>
          <w:ilvl w:val="0"/>
          <w:numId w:val="1001"/>
        </w:numPr>
      </w:pPr>
      <w:hyperlink w:anchor="X0e80c95edc12dabb7455ed08d287a6e60ce05a5">
        <w:r>
          <w:rPr>
            <w:rStyle w:val="Hyperlink"/>
          </w:rPr>
          <w:t xml:space="preserve">Spec-change rule (load-bearing —</w:t>
        </w:r>
        <w:r>
          <w:rPr>
            <w:rStyle w:val="Hyperlink"/>
          </w:rPr>
          <w:t xml:space="preserve"> </w:t>
        </w:r>
        <w:r>
          <w:rPr>
            <w:rStyle w:val="VerbatimChar"/>
          </w:rPr>
          <w:t xml:space="preserve">docs/specs/mvp/specification.V3.md</w:t>
        </w:r>
        <w:r>
          <w:rPr>
            <w:rStyle w:val="Hyperlink"/>
          </w:rPr>
          <w:t xml:space="preserve"> </w:t>
        </w:r>
        <w:r>
          <w:rPr>
            <w:rStyle w:val="Hyperlink"/>
          </w:rPr>
          <w:t xml:space="preserve">§"Specification documents")</w:t>
        </w:r>
      </w:hyperlink>
    </w:p>
    <w:p>
      <w:pPr>
        <w:pStyle w:val="Compact"/>
        <w:numPr>
          <w:ilvl w:val="0"/>
          <w:numId w:val="1001"/>
        </w:numPr>
      </w:pPr>
      <w:hyperlink w:anchor="X9a65c2c879d82c2edb3d79b214e6ac5cac77ed9">
        <w:r>
          <w:rPr>
            <w:rStyle w:val="Hyperlink"/>
          </w:rPr>
          <w:t xml:space="preserve">Project conventions from the spec (apply when scaffolding)</w:t>
        </w:r>
      </w:hyperlink>
    </w:p>
    <w:p>
      <w:pPr>
        <w:pStyle w:val="Compact"/>
        <w:numPr>
          <w:ilvl w:val="0"/>
          <w:numId w:val="1001"/>
        </w:numPr>
      </w:pPr>
      <w:hyperlink w:anchor="X9633c229000ce516a1919fd07cb27a4f52cfbed">
        <w:r>
          <w:rPr>
            <w:rStyle w:val="VerbatimChar"/>
          </w:rPr>
          <w:t xml:space="preserve">constitutable/</w:t>
        </w:r>
        <w:r>
          <w:rPr>
            <w:rStyle w:val="Hyperlink"/>
          </w:rPr>
          <w:t xml:space="preserve"> </w:t>
        </w:r>
        <w:r>
          <w:rPr>
            <w:rStyle w:val="Hyperlink"/>
          </w:rPr>
          <w:t xml:space="preserve">directory (parent-project extension hook)</w:t>
        </w:r>
      </w:hyperlink>
    </w:p>
    <w:p>
      <w:pPr>
        <w:pStyle w:val="Compact"/>
        <w:numPr>
          <w:ilvl w:val="0"/>
          <w:numId w:val="1001"/>
        </w:numPr>
      </w:pPr>
      <w:hyperlink w:anchor="documentation-artefacts-pdfhtml-siblings">
        <w:r>
          <w:rPr>
            <w:rStyle w:val="Hyperlink"/>
          </w:rPr>
          <w:t xml:space="preserve">Documentation artefacts (PDF/HTML siblings)</w:t>
        </w:r>
      </w:hyperlink>
    </w:p>
    <w:p>
      <w:pPr>
        <w:pStyle w:val="Compact"/>
        <w:numPr>
          <w:ilvl w:val="0"/>
          <w:numId w:val="1001"/>
        </w:numPr>
      </w:pPr>
      <w:hyperlink w:anchor="notes-for-future-scaffolding">
        <w:r>
          <w:rPr>
            <w:rStyle w:val="Hyperlink"/>
          </w:rPr>
          <w:t xml:space="preserve">Notes for future scaffolding</w:t>
        </w:r>
      </w:hyperlink>
    </w:p>
    <w:p>
      <w:pPr>
        <w:pStyle w:val="FirstParagraph"/>
      </w:pPr>
      <w:r>
        <w:t xml:space="preserve">This file provides guidance to Claude Code (claude.ai/code) when working with code in this repository.</w:t>
      </w:r>
    </w:p>
    <w:bookmarkEnd w:id="9"/>
    <w:bookmarkStart w:id="11" w:name="X79ca5eb866ac9da45bc7b855edaa030da827c63"/>
    <w:p>
      <w:pPr>
        <w:pStyle w:val="Heading2"/>
      </w:pPr>
      <w:r>
        <w:t xml:space="preserve">INHERITED FROM Helix Constitution (parent-discovery)</w:t>
      </w:r>
    </w:p>
    <w:p>
      <w:pPr>
        <w:pStyle w:val="FirstParagraph"/>
      </w:pPr>
      <w:r>
        <w:t xml:space="preserve">Herald is consumed as a submodule of a parent project that already carries the Helix Constitution submodule at</w:t>
      </w:r>
      <w:r>
        <w:t xml:space="preserve"> </w:t>
      </w:r>
      <w:r>
        <w:rPr>
          <w:rStyle w:val="VerbatimChar"/>
        </w:rPr>
        <w:t xml:space="preserve">&lt;parent&gt;/constitution/</w:t>
      </w:r>
      <w:r>
        <w:t xml:space="preserve">. Herald therefore does</w:t>
      </w:r>
      <w:r>
        <w:t xml:space="preserve"> </w:t>
      </w:r>
      <w:r>
        <w:rPr>
          <w:b/>
          <w:bCs/>
        </w:rPr>
        <w:t xml:space="preserve">NOT</w:t>
      </w:r>
      <w:r>
        <w:t xml:space="preserve"> </w:t>
      </w:r>
      <w:r>
        <w:t xml:space="preserve">keep its own copy. Locate the constitution from any nested depth by walking up parents until you find</w:t>
      </w:r>
      <w:r>
        <w:t xml:space="preserve"> </w:t>
      </w:r>
      <w:r>
        <w:rPr>
          <w:rStyle w:val="VerbatimChar"/>
        </w:rPr>
        <w:t xml:space="preserve">&lt;ancestor&gt;/constitution/Constitution.md</w:t>
      </w:r>
      <w:r>
        <w:t xml:space="preserve">, or by running the canonical helper:</w:t>
      </w:r>
    </w:p>
    <w:p>
      <w:pPr>
        <w:pStyle w:val="SourceCode"/>
      </w:pP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StringTok"/>
        </w:rPr>
        <w:t xml:space="preserve">"</w:t>
      </w:r>
      <w:r>
        <w:rPr>
          <w:rStyle w:val="VariableTok"/>
        </w:rPr>
        <w:t xml:space="preserve">$(</w:t>
      </w:r>
      <w:r>
        <w:rPr>
          <w:rStyle w:val="FunctionTok"/>
        </w:rPr>
        <w:t xml:space="preserve">find</w:t>
      </w:r>
      <w:r>
        <w:rPr>
          <w:rStyle w:val="NormalTok"/>
        </w:rPr>
        <w:t xml:space="preserve"> . </w:t>
      </w:r>
      <w:r>
        <w:rPr>
          <w:rStyle w:val="AttributeTok"/>
        </w:rPr>
        <w:t xml:space="preserve">-type</w:t>
      </w:r>
      <w:r>
        <w:rPr>
          <w:rStyle w:val="NormalTok"/>
        </w:rPr>
        <w:t xml:space="preserve"> d </w:t>
      </w:r>
      <w:r>
        <w:rPr>
          <w:rStyle w:val="AttributeTok"/>
        </w:rPr>
        <w:t xml:space="preserve">-name</w:t>
      </w:r>
      <w:r>
        <w:rPr>
          <w:rStyle w:val="NormalTok"/>
        </w:rPr>
        <w:t xml:space="preserve"> constitution </w:t>
      </w:r>
      <w:r>
        <w:rPr>
          <w:rStyle w:val="AttributeTok"/>
        </w:rPr>
        <w:t xml:space="preserve">-print</w:t>
      </w:r>
      <w:r>
        <w:rPr>
          <w:rStyle w:val="NormalTok"/>
        </w:rPr>
        <w:t xml:space="preserve"> </w:t>
      </w:r>
      <w:r>
        <w:rPr>
          <w:rStyle w:val="AttributeTok"/>
        </w:rPr>
        <w:t xml:space="preserve">-quit</w:t>
      </w:r>
      <w:r>
        <w:rPr>
          <w:rStyle w:val="NormalTok"/>
        </w:rPr>
        <w:t xml:space="preserve"> </w:t>
      </w:r>
      <w:r>
        <w:rPr>
          <w:rStyle w:val="DecValTok"/>
        </w:rPr>
        <w:t xml:space="preserve">2</w:t>
      </w:r>
      <w:r>
        <w:rPr>
          <w:rStyle w:val="OperatorTok"/>
        </w:rPr>
        <w:t xml:space="preserve">&gt;</w:t>
      </w:r>
      <w:r>
        <w:rPr>
          <w:rStyle w:val="NormalTok"/>
        </w:rPr>
        <w:t xml:space="preserve">/dev/null</w:t>
      </w:r>
      <w:r>
        <w:rPr>
          <w:rStyle w:val="VariableTok"/>
        </w:rPr>
        <w:t xml:space="preserve">)</w:t>
      </w:r>
      <w:r>
        <w:rPr>
          <w:rStyle w:val="StringTok"/>
        </w:rPr>
        <w:t xml:space="preserve">/find_constitution.sh"</w:t>
      </w:r>
      <w:r>
        <w:rPr>
          <w:rStyle w:val="VariableTok"/>
        </w:rPr>
        <w:t xml:space="preserve">)</w:t>
      </w:r>
      <w:r>
        <w:rPr>
          <w:rStyle w:val="StringTok"/>
        </w:rPr>
        <w:t xml:space="preserve">"</w:t>
      </w:r>
      <w:r>
        <w:br/>
      </w:r>
      <w:r>
        <w:rPr>
          <w:rStyle w:val="CommentTok"/>
        </w:rPr>
        <w:t xml:space="preserve"># or, more robustly, from any starting directory:</w:t>
      </w:r>
      <w:r>
        <w:br/>
      </w:r>
      <w:r>
        <w:rPr>
          <w:rStyle w:val="VariableTok"/>
        </w:rPr>
        <w:t xml:space="preserve">CONST_DIR</w:t>
      </w:r>
      <w:r>
        <w:rPr>
          <w:rStyle w:val="OperatorTok"/>
        </w:rPr>
        <w:t xml:space="preserve">=</w:t>
      </w:r>
      <w:r>
        <w:rPr>
          <w:rStyle w:val="StringTok"/>
        </w:rPr>
        <w:t xml:space="preserve">"</w:t>
      </w:r>
      <w:r>
        <w:rPr>
          <w:rStyle w:val="VariableTok"/>
        </w:rPr>
        <w:t xml:space="preserve">$(</w:t>
      </w:r>
      <w:r>
        <w:rPr>
          <w:rStyle w:val="FunctionTok"/>
        </w:rPr>
        <w:t xml:space="preserve">bash</w:t>
      </w:r>
      <w:r>
        <w:rPr>
          <w:rStyle w:val="NormalTok"/>
        </w:rPr>
        <w:t xml:space="preserve"> </w:t>
      </w:r>
      <w:r>
        <w:rPr>
          <w:rStyle w:val="OperatorTok"/>
        </w:rPr>
        <w:t xml:space="preserve">&lt;</w:t>
      </w:r>
      <w:r>
        <w:rPr>
          <w:rStyle w:val="NormalTok"/>
        </w:rPr>
        <w:t xml:space="preserve">ancestor</w:t>
      </w:r>
      <w:r>
        <w:rPr>
          <w:rStyle w:val="OperatorTok"/>
        </w:rPr>
        <w:t xml:space="preserve">&gt;</w:t>
      </w:r>
      <w:r>
        <w:rPr>
          <w:rStyle w:val="NormalTok"/>
        </w:rPr>
        <w:t xml:space="preserve">/constitution/find_constitution.sh</w:t>
      </w:r>
      <w:r>
        <w:rPr>
          <w:rStyle w:val="VariableTok"/>
        </w:rPr>
        <w:t xml:space="preserve">)</w:t>
      </w:r>
      <w:r>
        <w:rPr>
          <w:rStyle w:val="StringTok"/>
        </w:rPr>
        <w:t xml:space="preserve">"</w:t>
      </w:r>
    </w:p>
    <w:p>
      <w:pPr>
        <w:pStyle w:val="FirstParagraph"/>
      </w:pPr>
      <w:r>
        <w:t xml:space="preserve">For standalone development of Herald (no parent project), clone the constitution alongside Herald:</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p>
      <w:pPr>
        <w:pStyle w:val="FirstParagraph"/>
      </w:pPr>
      <w:r>
        <w:t xml:space="preserve">Once located, all rules in</w:t>
      </w:r>
      <w:r>
        <w:t xml:space="preserve"> </w:t>
      </w:r>
      <w:r>
        <w:rPr>
          <w:rStyle w:val="VerbatimChar"/>
        </w:rPr>
        <w:t xml:space="preserve">&lt;discovered&gt;/CLAUDE.md</w:t>
      </w:r>
      <w:r>
        <w:t xml:space="preserve"> </w:t>
      </w:r>
      <w:r>
        <w:t xml:space="preserve">and the</w:t>
      </w:r>
      <w:r>
        <w:t xml:space="preserve"> </w:t>
      </w:r>
      <w:r>
        <w:rPr>
          <w:rStyle w:val="VerbatimChar"/>
        </w:rPr>
        <w:t xml:space="preserve">&lt;discovered&gt;/Constitution.md</w:t>
      </w:r>
      <w:r>
        <w:t xml:space="preserve"> </w:t>
      </w:r>
      <w:r>
        <w:t xml:space="preserve">it references apply unconditionally. Herald-specific rules below extend them — they MUST NOT weaken any inherited rule. When this file disagrees with the discovered constitution, the constitution wins.</w:t>
      </w:r>
    </w:p>
    <w:p>
      <w:pPr>
        <w:pStyle w:val="BodyText"/>
      </w:pPr>
      <w:r>
        <w:t xml:space="preserve">Canonical:</w:t>
      </w:r>
      <w:r>
        <w:t xml:space="preserve"> </w:t>
      </w:r>
      <w:hyperlink r:id="rId10">
        <w:r>
          <w:rPr>
            <w:rStyle w:val="Hyperlink"/>
          </w:rPr>
          <w:t xml:space="preserve">https://github.com/HelixDevelopment/HelixConstitution</w:t>
        </w:r>
      </w:hyperlink>
    </w:p>
    <w:p>
      <w:pPr>
        <w:pStyle w:val="BlockText"/>
      </w:pPr>
      <w:r>
        <w:rPr>
          <w:b/>
          <w:bCs/>
        </w:rPr>
        <w:t xml:space="preserve">Read order on a cold start:</w:t>
      </w:r>
    </w:p>
    <w:p>
      <w:pPr>
        <w:pStyle w:val="Compact"/>
        <w:numPr>
          <w:ilvl w:val="0"/>
          <w:numId w:val="1002"/>
        </w:numPr>
      </w:pPr>
      <w:r>
        <w:rPr>
          <w:rStyle w:val="VerbatimChar"/>
        </w:rPr>
        <w:t xml:space="preserve">&lt;discovered-constitution&gt;/CLAUDE.md</w:t>
      </w:r>
      <w:r>
        <w:t xml:space="preserve"> </w:t>
      </w:r>
      <w:r>
        <w:t xml:space="preserve">+</w:t>
      </w:r>
      <w:r>
        <w:t xml:space="preserve"> </w:t>
      </w:r>
      <w:r>
        <w:rPr>
          <w:rStyle w:val="VerbatimChar"/>
        </w:rPr>
        <w:t xml:space="preserve">Constitution.md</w:t>
      </w:r>
      <w:r>
        <w:t xml:space="preserve"> </w:t>
      </w:r>
      <w:r>
        <w:t xml:space="preserve">— universal Helix rules. Inherited unconditionally.</w:t>
      </w:r>
    </w:p>
    <w:p>
      <w:pPr>
        <w:pStyle w:val="Compact"/>
        <w:numPr>
          <w:ilvl w:val="0"/>
          <w:numId w:val="1002"/>
        </w:numPr>
      </w:pPr>
      <w:r>
        <w:rPr>
          <w:rStyle w:val="VerbatimChar"/>
        </w:rPr>
        <w:t xml:space="preserve">&lt;discovered-constitution&gt;/AGENTS.md</w:t>
      </w:r>
      <w:r>
        <w:t xml:space="preserve"> </w:t>
      </w:r>
      <w:r>
        <w:t xml:space="preserve">— agent guardrails (anti-bluff, no-guessing, paired mutations).</w:t>
      </w:r>
    </w:p>
    <w:p>
      <w:pPr>
        <w:pStyle w:val="Compact"/>
        <w:numPr>
          <w:ilvl w:val="0"/>
          <w:numId w:val="1002"/>
        </w:numPr>
      </w:pPr>
      <w:r>
        <w:rPr>
          <w:rStyle w:val="VerbatimChar"/>
        </w:rPr>
        <w:t xml:space="preserve">README.md</w:t>
      </w:r>
      <w:r>
        <w:t xml:space="preserve"> </w:t>
      </w:r>
      <w:r>
        <w:t xml:space="preserve">— Herald overview + how-to.</w:t>
      </w:r>
    </w:p>
    <w:p>
      <w:pPr>
        <w:pStyle w:val="Compact"/>
        <w:numPr>
          <w:ilvl w:val="0"/>
          <w:numId w:val="1002"/>
        </w:numPr>
      </w:pPr>
      <w:r>
        <w:t xml:space="preserve">This file (Herald-specific notes below).</w:t>
      </w:r>
    </w:p>
    <w:p>
      <w:pPr>
        <w:pStyle w:val="Compact"/>
        <w:numPr>
          <w:ilvl w:val="0"/>
          <w:numId w:val="1002"/>
        </w:numPr>
      </w:pPr>
      <w:r>
        <w:rPr>
          <w:rStyle w:val="VerbatimChar"/>
        </w:rPr>
        <w:t xml:space="preserve">docs/guides/HERALD_CONSTITUTION.md</w:t>
      </w:r>
      <w:r>
        <w:t xml:space="preserve"> </w:t>
      </w:r>
      <w:r>
        <w:t xml:space="preserve">— Herald's project-specific constitutional extensions.</w:t>
      </w:r>
    </w:p>
    <w:p>
      <w:pPr>
        <w:pStyle w:val="Compact"/>
        <w:numPr>
          <w:ilvl w:val="0"/>
          <w:numId w:val="1002"/>
        </w:numPr>
      </w:pPr>
      <w:r>
        <w:rPr>
          <w:rStyle w:val="VerbatimChar"/>
        </w:rPr>
        <w:t xml:space="preserve">docs/guides/CONSTITUTION_INHERITANCE.md</w:t>
      </w:r>
      <w:r>
        <w:t xml:space="preserve"> </w:t>
      </w:r>
      <w:r>
        <w:t xml:space="preserve">— operator/agent guide for the discovery contract + the inheritance gate.</w:t>
      </w:r>
    </w:p>
    <w:p>
      <w:pPr>
        <w:pStyle w:val="Compact"/>
        <w:numPr>
          <w:ilvl w:val="0"/>
          <w:numId w:val="1002"/>
        </w:numPr>
      </w:pPr>
      <w:r>
        <w:rPr>
          <w:rStyle w:val="VerbatimChar"/>
        </w:rPr>
        <w:t xml:space="preserve">docs/specs/mvp/specification.V3.md</w:t>
      </w:r>
      <w:r>
        <w:t xml:space="preserve"> </w:t>
      </w:r>
      <w:r>
        <w:t xml:space="preserve">— mission spec (mostly TBD).</w:t>
      </w:r>
    </w:p>
    <w:bookmarkEnd w:id="11"/>
    <w:bookmarkStart w:id="12" w:name="project-status"/>
    <w:p>
      <w:pPr>
        <w:pStyle w:val="Heading2"/>
      </w:pPr>
      <w:r>
        <w:t xml:space="preserve">Project status</w:t>
      </w:r>
    </w:p>
    <w:p>
      <w:pPr>
        <w:pStyle w:val="FirstParagraph"/>
      </w:pPr>
      <w:r>
        <w:t xml:space="preserve">Herald is in</w:t>
      </w:r>
      <w:r>
        <w:t xml:space="preserve"> </w:t>
      </w:r>
      <w:r>
        <w:rPr>
          <w:b/>
          <w:bCs/>
        </w:rPr>
        <w:t xml:space="preserve">first-implementation cycle (r1)</w:t>
      </w:r>
      <w:r>
        <w:t xml:space="preserve"> </w:t>
      </w:r>
      <w:r>
        <w:t xml:space="preserve">as of 2026-05-20. The Go scaffold has landed; live-integration work (HRD-010..HRD-012, HRD-016) is still open. The repo contains:</w:t>
      </w:r>
    </w:p>
    <w:p>
      <w:pPr>
        <w:pStyle w:val="Compact"/>
        <w:numPr>
          <w:ilvl w:val="0"/>
          <w:numId w:val="1003"/>
        </w:numPr>
      </w:pPr>
      <w:r>
        <w:rPr>
          <w:rStyle w:val="VerbatimChar"/>
        </w:rPr>
        <w:t xml:space="preserve">README.md</w:t>
      </w:r>
      <w:r>
        <w:t xml:space="preserve"> </w:t>
      </w:r>
      <w:r>
        <w:t xml:space="preserve">— mission, deployment model, inheritance contract, quickstart.</w:t>
      </w:r>
    </w:p>
    <w:p>
      <w:pPr>
        <w:pStyle w:val="Compact"/>
        <w:numPr>
          <w:ilvl w:val="0"/>
          <w:numId w:val="1003"/>
        </w:numPr>
      </w:pPr>
      <w:r>
        <w:rPr>
          <w:rStyle w:val="VerbatimChar"/>
        </w:rPr>
        <w:t xml:space="preserve">docs/specs/mvp/specification.V3.md</w:t>
      </w:r>
      <w:r>
        <w:t xml:space="preserve"> </w:t>
      </w:r>
      <w:r>
        <w:t xml:space="preserve">— MVP spec stub (substantive sections TBD).</w:t>
      </w:r>
    </w:p>
    <w:p>
      <w:pPr>
        <w:pStyle w:val="Compact"/>
        <w:numPr>
          <w:ilvl w:val="0"/>
          <w:numId w:val="1003"/>
        </w:numPr>
      </w:pPr>
      <w:r>
        <w:rPr>
          <w:rStyle w:val="VerbatimChar"/>
        </w:rPr>
        <w:t xml:space="preserve">docs/guides/HERALD_CONSTITUTION.md</w:t>
      </w:r>
      <w:r>
        <w:t xml:space="preserve"> </w:t>
      </w:r>
      <w:r>
        <w:t xml:space="preserve">— Herald's project constitution (extends Helix).</w:t>
      </w:r>
    </w:p>
    <w:p>
      <w:pPr>
        <w:pStyle w:val="Compact"/>
        <w:numPr>
          <w:ilvl w:val="0"/>
          <w:numId w:val="1003"/>
        </w:numPr>
      </w:pPr>
      <w:r>
        <w:rPr>
          <w:rStyle w:val="VerbatimChar"/>
        </w:rPr>
        <w:t xml:space="preserve">docs/guides/CONSTITUTION_INHERITANCE.md</w:t>
      </w:r>
      <w:r>
        <w:t xml:space="preserve"> </w:t>
      </w:r>
      <w:r>
        <w:t xml:space="preserve">— operator/agent guide for parent-discovery + gate semantics.</w:t>
      </w:r>
    </w:p>
    <w:p>
      <w:pPr>
        <w:pStyle w:val="Compact"/>
        <w:numPr>
          <w:ilvl w:val="0"/>
          <w:numId w:val="1003"/>
        </w:numPr>
      </w:pPr>
      <w:r>
        <w:rPr>
          <w:rStyle w:val="VerbatimChar"/>
        </w:rPr>
        <w:t xml:space="preserve">upstreams/</w:t>
      </w:r>
      <w:r>
        <w:t xml:space="preserve"> </w:t>
      </w:r>
      <w:r>
        <w:t xml:space="preserve">— Herald's mirror declarations (see below).</w:t>
      </w:r>
    </w:p>
    <w:p>
      <w:pPr>
        <w:pStyle w:val="Compact"/>
        <w:numPr>
          <w:ilvl w:val="0"/>
          <w:numId w:val="1003"/>
        </w:numPr>
      </w:pPr>
      <w:r>
        <w:rPr>
          <w:rStyle w:val="VerbatimChar"/>
        </w:rPr>
        <w:t xml:space="preserve">tests/test_constitution_inheritance.sh</w:t>
      </w:r>
      <w:r>
        <w:t xml:space="preserve"> </w:t>
      </w:r>
      <w:r>
        <w:t xml:space="preserve">+</w:t>
      </w:r>
      <w:r>
        <w:t xml:space="preserve"> </w:t>
      </w:r>
      <w:r>
        <w:rPr>
          <w:rStyle w:val="VerbatimChar"/>
        </w:rPr>
        <w:t xml:space="preserve">_meta.sh</w:t>
      </w:r>
      <w:r>
        <w:t xml:space="preserve"> </w:t>
      </w:r>
      <w:r>
        <w:t xml:space="preserve">— paired inheritance gate (§1.1).</w:t>
      </w:r>
    </w:p>
    <w:p>
      <w:pPr>
        <w:pStyle w:val="Compact"/>
        <w:numPr>
          <w:ilvl w:val="0"/>
          <w:numId w:val="1003"/>
        </w:numPr>
      </w:pPr>
      <w:r>
        <w:rPr>
          <w:rStyle w:val="VerbatimChar"/>
        </w:rPr>
        <w:t xml:space="preserve">.gitignore</w:t>
      </w:r>
      <w:r>
        <w:t xml:space="preserve"> </w:t>
      </w:r>
      <w:r>
        <w:t xml:space="preserve">tuned for Go +</w:t>
      </w:r>
      <w:r>
        <w:t xml:space="preserve"> </w:t>
      </w:r>
      <w:r>
        <w:rPr>
          <w:rStyle w:val="VerbatimChar"/>
        </w:rPr>
        <w:t xml:space="preserve">.DS_Store</w:t>
      </w:r>
      <w:r>
        <w:t xml:space="preserve">.</w:t>
      </w:r>
    </w:p>
    <w:p>
      <w:pPr>
        <w:pStyle w:val="FirstParagraph"/>
      </w:pPr>
      <w:r>
        <w:t xml:space="preserve">Herald does</w:t>
      </w:r>
      <w:r>
        <w:t xml:space="preserve"> </w:t>
      </w:r>
      <w:r>
        <w:rPr>
          <w:b/>
          <w:bCs/>
        </w:rPr>
        <w:t xml:space="preserve">not</w:t>
      </w:r>
      <w:r>
        <w:t xml:space="preserve"> </w:t>
      </w:r>
      <w:r>
        <w:t xml:space="preserve">ship a</w:t>
      </w:r>
      <w:r>
        <w:t xml:space="preserve"> </w:t>
      </w:r>
      <w:r>
        <w:rPr>
          <w:rStyle w:val="VerbatimChar"/>
        </w:rPr>
        <w:t xml:space="preserve">constitution/</w:t>
      </w:r>
      <w:r>
        <w:t xml:space="preserve"> </w:t>
      </w:r>
      <w:r>
        <w:t xml:space="preserve">submodule of its own; the parent project provides it. See</w:t>
      </w:r>
      <w:r>
        <w:t xml:space="preserve"> </w:t>
      </w:r>
      <w:r>
        <w:rPr>
          <w:rStyle w:val="VerbatimChar"/>
        </w:rPr>
        <w:t xml:space="preserve">docs/guides/CONSTITUTION_INHERITANCE.md</w:t>
      </w:r>
      <w:r>
        <w:t xml:space="preserve">.</w:t>
      </w:r>
    </w:p>
    <w:p>
      <w:pPr>
        <w:pStyle w:val="BodyText"/>
      </w:pPr>
      <w:r>
        <w:rPr>
          <w:b/>
          <w:bCs/>
        </w:rPr>
        <w:t xml:space="preserve">As of 2026-05-20</w:t>
      </w:r>
      <w:r>
        <w:t xml:space="preserve"> </w:t>
      </w:r>
      <w:r>
        <w:t xml:space="preserve">the Go scaffold has landed (first-implementation cycle r1). The repo now contains:</w:t>
      </w:r>
    </w:p>
    <w:p>
      <w:pPr>
        <w:pStyle w:val="Compact"/>
        <w:numPr>
          <w:ilvl w:val="0"/>
          <w:numId w:val="1004"/>
        </w:numPr>
      </w:pPr>
      <w:r>
        <w:rPr>
          <w:rStyle w:val="VerbatimChar"/>
        </w:rPr>
        <w:t xml:space="preserve">go.work</w:t>
      </w:r>
      <w:r>
        <w:t xml:space="preserve"> </w:t>
      </w:r>
      <w:r>
        <w:t xml:space="preserve">(gitignored locally; check in if the project wants reproducible workspaces — current convention: gitignored per spec §9.1).</w:t>
      </w:r>
    </w:p>
    <w:p>
      <w:pPr>
        <w:pStyle w:val="Compact"/>
        <w:numPr>
          <w:ilvl w:val="0"/>
          <w:numId w:val="1004"/>
        </w:numPr>
      </w:pPr>
      <w:r>
        <w:rPr>
          <w:rStyle w:val="VerbatimChar"/>
        </w:rPr>
        <w:t xml:space="preserve">commons/</w:t>
      </w:r>
      <w:r>
        <w:t xml:space="preserve"> </w:t>
      </w:r>
      <w:r>
        <w:t xml:space="preserve">(L0) —</w:t>
      </w:r>
      <w:r>
        <w:t xml:space="preserve"> </w:t>
      </w:r>
      <w:r>
        <w:rPr>
          <w:rStyle w:val="VerbatimChar"/>
        </w:rPr>
        <w:t xml:space="preserve">commons/types.go</w:t>
      </w:r>
      <w:r>
        <w:t xml:space="preserve"> </w:t>
      </w:r>
      <w:r>
        <w:t xml:space="preserve">with the full §11.0 Channel contract + Subscriber/CloudEventEnvelope/TraceContext/Branding/ChannelID;</w:t>
      </w:r>
      <w:r>
        <w:t xml:space="preserve"> </w:t>
      </w:r>
      <w:r>
        <w:rPr>
          <w:rStyle w:val="VerbatimChar"/>
        </w:rPr>
        <w:t xml:space="preserve">commons/clock.go</w:t>
      </w:r>
      <w:r>
        <w:t xml:space="preserve"> </w:t>
      </w:r>
      <w:r>
        <w:t xml:space="preserve">Clock abstraction;</w:t>
      </w:r>
      <w:r>
        <w:t xml:space="preserve"> </w:t>
      </w:r>
      <w:r>
        <w:rPr>
          <w:rStyle w:val="VerbatimChar"/>
        </w:rPr>
        <w:t xml:space="preserve">commons/uuidv7.go</w:t>
      </w:r>
      <w:r>
        <w:t xml:space="preserve">;</w:t>
      </w:r>
      <w:r>
        <w:t xml:space="preserve"> </w:t>
      </w:r>
      <w:r>
        <w:rPr>
          <w:rStyle w:val="VerbatimChar"/>
        </w:rPr>
        <w:t xml:space="preserve">commons/branding.go</w:t>
      </w:r>
      <w:r>
        <w:t xml:space="preserve"> </w:t>
      </w:r>
      <w:r>
        <w:t xml:space="preserve">per-flavor factory.</w:t>
      </w:r>
    </w:p>
    <w:p>
      <w:pPr>
        <w:pStyle w:val="Compact"/>
        <w:numPr>
          <w:ilvl w:val="0"/>
          <w:numId w:val="1004"/>
        </w:numPr>
      </w:pPr>
      <w:r>
        <w:rPr>
          <w:rStyle w:val="VerbatimChar"/>
        </w:rPr>
        <w:t xml:space="preserve">commons_prefix/</w:t>
      </w:r>
      <w:r>
        <w:t xml:space="preserve"> </w:t>
      </w:r>
      <w:r>
        <w:t xml:space="preserve">— §8.2 3-letter prefix algorithm.</w:t>
      </w:r>
    </w:p>
    <w:p>
      <w:pPr>
        <w:pStyle w:val="Compact"/>
        <w:numPr>
          <w:ilvl w:val="0"/>
          <w:numId w:val="1004"/>
        </w:numPr>
      </w:pPr>
      <w:r>
        <w:rPr>
          <w:rStyle w:val="VerbatimChar"/>
        </w:rPr>
        <w:t xml:space="preserve">commons_messaging/channels/null/</w:t>
      </w:r>
      <w:r>
        <w:t xml:space="preserve"> </w:t>
      </w:r>
      <w:r>
        <w:t xml:space="preserve">— full §11.14</w:t>
      </w:r>
      <w:r>
        <w:t xml:space="preserve"> </w:t>
      </w:r>
      <w:r>
        <w:rPr>
          <w:rStyle w:val="VerbatimChar"/>
        </w:rPr>
        <w:t xml:space="preserve">null://</w:t>
      </w:r>
      <w:r>
        <w:t xml:space="preserve"> </w:t>
      </w:r>
      <w:r>
        <w:t xml:space="preserve">sandbox adapter (working, tested).</w:t>
      </w:r>
    </w:p>
    <w:p>
      <w:pPr>
        <w:pStyle w:val="Compact"/>
        <w:numPr>
          <w:ilvl w:val="0"/>
          <w:numId w:val="1004"/>
        </w:numPr>
      </w:pPr>
      <w:r>
        <w:rPr>
          <w:rStyle w:val="VerbatimChar"/>
        </w:rPr>
        <w:t xml:space="preserve">commons_messaging/channels/tgram/</w:t>
      </w:r>
      <w:r>
        <w:t xml:space="preserve"> </w:t>
      </w:r>
      <w:r>
        <w:t xml:space="preserve">— Telegram adapter SCAFFOLD (HRD-011 open).</w:t>
      </w:r>
    </w:p>
    <w:p>
      <w:pPr>
        <w:pStyle w:val="Compact"/>
        <w:numPr>
          <w:ilvl w:val="0"/>
          <w:numId w:val="1004"/>
        </w:numPr>
      </w:pPr>
      <w:r>
        <w:rPr>
          <w:rStyle w:val="VerbatimChar"/>
        </w:rPr>
        <w:t xml:space="preserve">commons_messaging/dispatch/claude_code/</w:t>
      </w:r>
      <w:r>
        <w:t xml:space="preserve"> </w:t>
      </w:r>
      <w:r>
        <w:t xml:space="preserve">— Claude Code session-resolution + envelope formatter; live</w:t>
      </w:r>
      <w:r>
        <w:t xml:space="preserve"> </w:t>
      </w:r>
      <w:r>
        <w:rPr>
          <w:rStyle w:val="VerbatimChar"/>
        </w:rPr>
        <w:t xml:space="preserve">claude --resume</w:t>
      </w:r>
      <w:r>
        <w:t xml:space="preserve"> </w:t>
      </w:r>
      <w:r>
        <w:t xml:space="preserve">invocation pending (HRD-012 open).</w:t>
      </w:r>
    </w:p>
    <w:p>
      <w:pPr>
        <w:pStyle w:val="Compact"/>
        <w:numPr>
          <w:ilvl w:val="0"/>
          <w:numId w:val="1004"/>
        </w:numPr>
      </w:pPr>
      <w:r>
        <w:rPr>
          <w:rStyle w:val="VerbatimChar"/>
        </w:rPr>
        <w:t xml:space="preserve">commons_storage/</w:t>
      </w:r>
      <w:r>
        <w:t xml:space="preserve"> </w:t>
      </w:r>
      <w:r>
        <w:t xml:space="preserve">— 9 SQL migrations (000001..000005) embedded via</w:t>
      </w:r>
      <w:r>
        <w:t xml:space="preserve"> </w:t>
      </w:r>
      <w:r>
        <w:rPr>
          <w:rStyle w:val="VerbatimChar"/>
        </w:rPr>
        <w:t xml:space="preserve">//go:embed</w:t>
      </w:r>
      <w:r>
        <w:t xml:space="preserve">; pgx + River + Redis wiring pending (HRD-010 open).</w:t>
      </w:r>
    </w:p>
    <w:p>
      <w:pPr>
        <w:pStyle w:val="Compact"/>
        <w:numPr>
          <w:ilvl w:val="0"/>
          <w:numId w:val="1004"/>
        </w:numPr>
      </w:pPr>
      <w:r>
        <w:rPr>
          <w:rStyle w:val="VerbatimChar"/>
        </w:rPr>
        <w:t xml:space="preserve">pherald/cmd/pherald/</w:t>
      </w:r>
      <w:r>
        <w:t xml:space="preserve"> </w:t>
      </w:r>
      <w:r>
        <w:t xml:space="preserve">— Cobra CLI;</w:t>
      </w:r>
      <w:r>
        <w:t xml:space="preserve"> </w:t>
      </w:r>
      <w:r>
        <w:rPr>
          <w:rStyle w:val="VerbatimChar"/>
        </w:rPr>
        <w:t xml:space="preserve">pherald version</w:t>
      </w:r>
      <w:r>
        <w:t xml:space="preserve"> </w:t>
      </w:r>
      <w:r>
        <w:t xml:space="preserve">works end-to-end; other subcommands stubbed with HRD-NNN error pointers.</w:t>
      </w:r>
    </w:p>
    <w:p>
      <w:pPr>
        <w:pStyle w:val="Compact"/>
        <w:numPr>
          <w:ilvl w:val="0"/>
          <w:numId w:val="1004"/>
        </w:numPr>
      </w:pPr>
      <w:r>
        <w:rPr>
          <w:rStyle w:val="VerbatimChar"/>
        </w:rPr>
        <w:t xml:space="preserve">quickstart/</w:t>
      </w:r>
      <w:r>
        <w:t xml:space="preserve"> </w:t>
      </w:r>
      <w:r>
        <w:t xml:space="preserve">— Herald-specific Docker/Podman Compose + Dockerfile + otel-config +</w:t>
      </w:r>
      <w:r>
        <w:t xml:space="preserve"> </w:t>
      </w:r>
      <w:r>
        <w:rPr>
          <w:rStyle w:val="VerbatimChar"/>
        </w:rPr>
        <w:t xml:space="preserve">.env.example</w:t>
      </w:r>
      <w:r>
        <w:t xml:space="preserve"> </w:t>
      </w:r>
      <w:r>
        <w:t xml:space="preserve">per §26.5 (HRD-008 open for operator validation). Migrated from</w:t>
      </w:r>
      <w:r>
        <w:t xml:space="preserve"> </w:t>
      </w:r>
      <w:r>
        <w:rPr>
          <w:rStyle w:val="VerbatimChar"/>
        </w:rPr>
        <w:t xml:space="preserve">containers/quickstart/</w:t>
      </w:r>
      <w:r>
        <w:t xml:space="preserve"> </w:t>
      </w:r>
      <w:r>
        <w:t xml:space="preserve">2026-05-20 when the</w:t>
      </w:r>
      <w:r>
        <w:t xml:space="preserve"> </w:t>
      </w:r>
      <w:r>
        <w:rPr>
          <w:rStyle w:val="VerbatimChar"/>
        </w:rPr>
        <w:t xml:space="preserve">containers/</w:t>
      </w:r>
      <w:r>
        <w:t xml:space="preserve"> </w:t>
      </w:r>
      <w:r>
        <w:t xml:space="preserve">submodule was added.</w:t>
      </w:r>
    </w:p>
    <w:p>
      <w:pPr>
        <w:pStyle w:val="Compact"/>
        <w:numPr>
          <w:ilvl w:val="0"/>
          <w:numId w:val="1004"/>
        </w:numPr>
      </w:pPr>
      <w:r>
        <w:rPr>
          <w:rStyle w:val="VerbatimChar"/>
        </w:rPr>
        <w:t xml:space="preserve">containers/</w:t>
      </w:r>
      <w:r>
        <w:t xml:space="preserve"> </w:t>
      </w:r>
      <w:r>
        <w:t xml:space="preserve">— git submodule pointing at</w:t>
      </w:r>
      <w:r>
        <w:t xml:space="preserve"> </w:t>
      </w:r>
      <w:r>
        <w:rPr>
          <w:rStyle w:val="VerbatimChar"/>
        </w:rPr>
        <w:t xml:space="preserve">git@github.com:vasic-digital/containers.git</w:t>
      </w:r>
      <w:r>
        <w:t xml:space="preserve"> </w:t>
      </w:r>
      <w:r>
        <w:t xml:space="preserve">(the</w:t>
      </w:r>
      <w:r>
        <w:t xml:space="preserve"> </w:t>
      </w:r>
      <w:r>
        <w:rPr>
          <w:rStyle w:val="VerbatimChar"/>
        </w:rPr>
        <w:t xml:space="preserve">digital.vasic.containers</w:t>
      </w:r>
      <w:r>
        <w:t xml:space="preserve"> </w:t>
      </w:r>
      <w:r>
        <w:t xml:space="preserve">Go module — runtime auto-detection + on-demand container boot + lifecycle/health). Imported by Foundation tests + the</w:t>
      </w:r>
      <w:r>
        <w:t xml:space="preserve"> </w:t>
      </w:r>
      <w:r>
        <w:rPr>
          <w:rStyle w:val="VerbatimChar"/>
        </w:rPr>
        <w:t xml:space="preserve">pherald doctor</w:t>
      </w:r>
      <w:r>
        <w:t xml:space="preserve"> </w:t>
      </w:r>
      <w:r>
        <w:t xml:space="preserve">subcommand to bring Postgres + Redis + OTel up on-demand.</w:t>
      </w:r>
    </w:p>
    <w:p>
      <w:pPr>
        <w:pStyle w:val="FirstParagraph"/>
      </w:pPr>
      <w:r>
        <w:rPr>
          <w:b/>
          <w:bCs/>
        </w:rPr>
        <w:t xml:space="preserve">Build + test:</w:t>
      </w:r>
      <w:r>
        <w:t xml:space="preserve"> </w:t>
      </w:r>
      <w:r>
        <w:t xml:space="preserve">from the repo root:</w:t>
      </w:r>
    </w:p>
    <w:p>
      <w:pPr>
        <w:pStyle w:val="SourceCode"/>
      </w:pPr>
      <w:r>
        <w:rPr>
          <w:rStyle w:val="ExtensionTok"/>
        </w:rPr>
        <w:t xml:space="preserve">go</w:t>
      </w:r>
      <w:r>
        <w:rPr>
          <w:rStyle w:val="NormalTok"/>
        </w:rPr>
        <w:t xml:space="preserve"> build ./commons/... ./commons_prefix/... ./commons_messaging/... ./commons_storage/... ./commons_constitution/... ./commons_infra/... ./pherald/...</w:t>
      </w:r>
      <w:r>
        <w:br/>
      </w:r>
      <w:r>
        <w:rPr>
          <w:rStyle w:val="ExtensionTok"/>
        </w:rPr>
        <w:t xml:space="preserve">go</w:t>
      </w:r>
      <w:r>
        <w:rPr>
          <w:rStyle w:val="NormalTok"/>
        </w:rPr>
        <w:t xml:space="preserve"> test </w:t>
      </w:r>
      <w:r>
        <w:rPr>
          <w:rStyle w:val="AttributeTok"/>
        </w:rPr>
        <w:t xml:space="preserve">-race</w:t>
      </w:r>
      <w:r>
        <w:rPr>
          <w:rStyle w:val="NormalTok"/>
        </w:rPr>
        <w:t xml:space="preserve"> </w:t>
      </w:r>
      <w:r>
        <w:rPr>
          <w:rStyle w:val="AttributeTok"/>
        </w:rPr>
        <w:t xml:space="preserve">-count</w:t>
      </w:r>
      <w:r>
        <w:rPr>
          <w:rStyle w:val="OperatorTok"/>
        </w:rPr>
        <w:t xml:space="preserve">=</w:t>
      </w:r>
      <w:r>
        <w:rPr>
          <w:rStyle w:val="NormalTok"/>
        </w:rPr>
        <w:t xml:space="preserve">1 ./commons/... ./commons_prefix/... ./commons_messaging/... ./commons_storage/... ./commons_constitution/... ./commons_infra/... ./pherald/...</w:t>
      </w:r>
    </w:p>
    <w:p>
      <w:pPr>
        <w:pStyle w:val="FirstParagraph"/>
      </w:pPr>
      <w:r>
        <w:t xml:space="preserve">Tests pass on Go 1.25+ (verified on 1.26). Workspace is configured via</w:t>
      </w:r>
      <w:r>
        <w:t xml:space="preserve"> </w:t>
      </w:r>
      <w:r>
        <w:rPr>
          <w:rStyle w:val="VerbatimChar"/>
        </w:rPr>
        <w:t xml:space="preserve">go.work</w:t>
      </w:r>
      <w:r>
        <w:t xml:space="preserve"> </w:t>
      </w:r>
      <w:r>
        <w:t xml:space="preserve">listing</w:t>
      </w:r>
      <w:r>
        <w:t xml:space="preserve"> </w:t>
      </w:r>
      <w:r>
        <w:rPr>
          <w:b/>
          <w:bCs/>
        </w:rPr>
        <w:t xml:space="preserve">14</w:t>
      </w:r>
      <w:r>
        <w:t xml:space="preserve"> </w:t>
      </w:r>
      <w:r>
        <w:t xml:space="preserve">Herald modules: the 7 foundation modules (</w:t>
      </w:r>
      <w:r>
        <w:rPr>
          <w:rStyle w:val="VerbatimChar"/>
        </w:rPr>
        <w:t xml:space="preserve">commons</w:t>
      </w:r>
      <w:r>
        <w:t xml:space="preserve">,</w:t>
      </w:r>
      <w:r>
        <w:t xml:space="preserve"> </w:t>
      </w:r>
      <w:r>
        <w:rPr>
          <w:rStyle w:val="VerbatimChar"/>
        </w:rPr>
        <w:t xml:space="preserve">commons_constitution</w:t>
      </w:r>
      <w:r>
        <w:t xml:space="preserve">,</w:t>
      </w:r>
      <w:r>
        <w:t xml:space="preserve"> </w:t>
      </w:r>
      <w:r>
        <w:rPr>
          <w:rStyle w:val="VerbatimChar"/>
        </w:rPr>
        <w:t xml:space="preserve">commons_infra</w:t>
      </w:r>
      <w:r>
        <w:t xml:space="preserve">,</w:t>
      </w:r>
      <w:r>
        <w:t xml:space="preserve"> </w:t>
      </w:r>
      <w:r>
        <w:rPr>
          <w:rStyle w:val="VerbatimChar"/>
        </w:rPr>
        <w:t xml:space="preserve">commons_messaging</w:t>
      </w:r>
      <w:r>
        <w:t xml:space="preserve">,</w:t>
      </w:r>
      <w:r>
        <w:t xml:space="preserve"> </w:t>
      </w:r>
      <w:r>
        <w:rPr>
          <w:rStyle w:val="VerbatimChar"/>
        </w:rPr>
        <w:t xml:space="preserve">commons_prefix</w:t>
      </w:r>
      <w:r>
        <w:t xml:space="preserve">,</w:t>
      </w:r>
      <w:r>
        <w:t xml:space="preserve"> </w:t>
      </w:r>
      <w:r>
        <w:rPr>
          <w:rStyle w:val="VerbatimChar"/>
        </w:rPr>
        <w:t xml:space="preserve">commons_storage</w:t>
      </w:r>
      <w:r>
        <w:t xml:space="preserve">,</w:t>
      </w:r>
      <w:r>
        <w:t xml:space="preserve"> </w:t>
      </w:r>
      <w:r>
        <w:rPr>
          <w:rStyle w:val="VerbatimChar"/>
        </w:rPr>
        <w:t xml:space="preserve">pherald</w:t>
      </w:r>
      <w:r>
        <w:t xml:space="preserve">) plus</w:t>
      </w:r>
      <w:r>
        <w:t xml:space="preserve"> </w:t>
      </w:r>
      <w:r>
        <w:rPr>
          <w:rStyle w:val="VerbatimChar"/>
        </w:rPr>
        <w:t xml:space="preserve">commons_auth</w:t>
      </w:r>
      <w:r>
        <w:t xml:space="preserve"> </w:t>
      </w:r>
      <w:r>
        <w:t xml:space="preserve">(Wave 3a JWT verifier / Gin middleware) and the 6 Wave 2 flavor binaries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w:t>
      </w:r>
      <w:r>
        <w:t xml:space="preserve"> </w:t>
      </w:r>
      <w:r>
        <w:rPr>
          <w:rStyle w:val="VerbatimChar"/>
        </w:rPr>
        <w:t xml:space="preserve">go.work</w:t>
      </w:r>
      <w:r>
        <w:t xml:space="preserve"> </w:t>
      </w:r>
      <w:r>
        <w:t xml:space="preserve">itself is gitignored per spec §9.1; a fresh clone needs</w:t>
      </w:r>
      <w:r>
        <w:t xml:space="preserve"> </w:t>
      </w:r>
      <w:r>
        <w:rPr>
          <w:rStyle w:val="VerbatimChar"/>
        </w:rPr>
        <w:t xml:space="preserve">go work init &amp;&amp; go work use ./...</w:t>
      </w:r>
      <w:r>
        <w:t xml:space="preserve"> </w:t>
      </w:r>
      <w:r>
        <w:t xml:space="preserve">(or copy the existing snippet from the project's local working tree). The 9 Helix-stack submodules under</w:t>
      </w:r>
      <w:r>
        <w:t xml:space="preserve"> </w:t>
      </w:r>
      <w:r>
        <w:rPr>
          <w:rStyle w:val="VerbatimChar"/>
        </w:rPr>
        <w:t xml:space="preserve">submodules/</w:t>
      </w:r>
      <w:r>
        <w:t xml:space="preserve"> </w:t>
      </w:r>
      <w:r>
        <w:t xml:space="preserve">are referenced via</w:t>
      </w:r>
      <w:r>
        <w:t xml:space="preserve"> </w:t>
      </w:r>
      <w:r>
        <w:rPr>
          <w:rStyle w:val="VerbatimChar"/>
        </w:rPr>
        <w:t xml:space="preserve">replace</w:t>
      </w:r>
      <w:r>
        <w:t xml:space="preserve"> </w:t>
      </w:r>
      <w:r>
        <w:t xml:space="preserve">directives in the consuming modules'</w:t>
      </w:r>
      <w:r>
        <w:t xml:space="preserve"> </w:t>
      </w:r>
      <w:r>
        <w:rPr>
          <w:rStyle w:val="VerbatimChar"/>
        </w:rPr>
        <w:t xml:space="preserve">go.mod</w:t>
      </w:r>
      <w:r>
        <w:t xml:space="preserve">, not via</w:t>
      </w:r>
      <w:r>
        <w:t xml:space="preserve"> </w:t>
      </w:r>
      <w:r>
        <w:rPr>
          <w:rStyle w:val="VerbatimChar"/>
        </w:rPr>
        <w:t xml:space="preserve">go.work</w:t>
      </w:r>
      <w:r>
        <w:t xml:space="preserve">.</w:t>
      </w:r>
    </w:p>
    <w:p>
      <w:pPr>
        <w:pStyle w:val="BodyText"/>
      </w:pPr>
      <w:r>
        <w:rPr>
          <w:b/>
          <w:bCs/>
        </w:rPr>
        <w:t xml:space="preserve">Anti-bluff verification (run before any release tag or risky commit):</w:t>
      </w:r>
    </w:p>
    <w:p>
      <w:pPr>
        <w:pStyle w:val="SourceCode"/>
      </w:pPr>
      <w:r>
        <w:rPr>
          <w:rStyle w:val="ExtensionTok"/>
        </w:rPr>
        <w:t xml:space="preserve">scripts/audit_antibluff.sh</w:t>
      </w:r>
      <w:r>
        <w:rPr>
          <w:rStyle w:val="NormalTok"/>
        </w:rPr>
        <w:t xml:space="preserve">      </w:t>
      </w:r>
      <w:r>
        <w:rPr>
          <w:rStyle w:val="CommentTok"/>
        </w:rPr>
        <w:t xml:space="preserve"># 3 invariants: §11.4 anchor + tests + paired meta</w:t>
      </w:r>
      <w:r>
        <w:br/>
      </w:r>
      <w:r>
        <w:rPr>
          <w:rStyle w:val="ExtensionTok"/>
        </w:rPr>
        <w:t xml:space="preserve">scripts/codegraph_validate.sh</w:t>
      </w:r>
      <w:r>
        <w:rPr>
          <w:rStyle w:val="NormalTok"/>
        </w:rPr>
        <w:t xml:space="preserve">   </w:t>
      </w:r>
      <w:r>
        <w:rPr>
          <w:rStyle w:val="CommentTok"/>
        </w:rPr>
        <w:t xml:space="preserve"># CodeGraph index integrity (7 probes)</w:t>
      </w:r>
      <w:r>
        <w:br/>
      </w:r>
      <w:r>
        <w:rPr>
          <w:rStyle w:val="ExtensionTok"/>
        </w:rPr>
        <w:t xml:space="preserve">scripts/e2e_bluff_hunt.sh</w:t>
      </w:r>
      <w:r>
        <w:rPr>
          <w:rStyle w:val="NormalTok"/>
        </w:rPr>
        <w:t xml:space="preserve">       </w:t>
      </w:r>
      <w:r>
        <w:rPr>
          <w:rStyle w:val="CommentTok"/>
        </w:rPr>
        <w:t xml:space="preserve"># 14 end-to-end checks against real services</w:t>
      </w:r>
    </w:p>
    <w:p>
      <w:pPr>
        <w:pStyle w:val="FirstParagraph"/>
      </w:pPr>
      <w:r>
        <w:t xml:space="preserve">CodeGraph index lives in</w:t>
      </w:r>
      <w:r>
        <w:t xml:space="preserve"> </w:t>
      </w:r>
      <w:r>
        <w:rPr>
          <w:rStyle w:val="VerbatimChar"/>
        </w:rPr>
        <w:t xml:space="preserve">.codegraph/</w:t>
      </w:r>
      <w:r>
        <w:t xml:space="preserve"> </w:t>
      </w:r>
      <w:r>
        <w:t xml:space="preserve">(</w:t>
      </w:r>
      <w:r>
        <w:rPr>
          <w:rStyle w:val="VerbatimChar"/>
        </w:rPr>
        <w:t xml:space="preserve">codegraph.db</w:t>
      </w:r>
      <w:r>
        <w:t xml:space="preserve"> </w:t>
      </w:r>
      <w:r>
        <w:t xml:space="preserve">+</w:t>
      </w:r>
      <w:r>
        <w:t xml:space="preserve"> </w:t>
      </w:r>
      <w:r>
        <w:rPr>
          <w:rStyle w:val="VerbatimChar"/>
        </w:rPr>
        <w:t xml:space="preserve">config.json</w:t>
      </w:r>
      <w:r>
        <w:t xml:space="preserve">, both gitignored). Rebuild with</w:t>
      </w:r>
      <w:r>
        <w:t xml:space="preserve"> </w:t>
      </w:r>
      <w:r>
        <w:rPr>
          <w:rStyle w:val="VerbatimChar"/>
        </w:rPr>
        <w:t xml:space="preserve">scripts/codegraph_setup.sh</w:t>
      </w:r>
      <w:r>
        <w:t xml:space="preserve"> </w:t>
      </w:r>
      <w:r>
        <w:t xml:space="preserve">when source layout changes;</w:t>
      </w:r>
      <w:r>
        <w:t xml:space="preserve"> </w:t>
      </w:r>
      <w:r>
        <w:rPr>
          <w:rStyle w:val="VerbatimChar"/>
        </w:rPr>
        <w:t xml:space="preserve">codegraph_validate.sh</w:t>
      </w:r>
      <w:r>
        <w:t xml:space="preserve"> </w:t>
      </w:r>
      <w:r>
        <w:t xml:space="preserve">will FAIL otherwise.</w:t>
      </w:r>
    </w:p>
    <w:p>
      <w:pPr>
        <w:pStyle w:val="BodyText"/>
      </w:pPr>
      <w:r>
        <w:rPr>
          <w:rStyle w:val="VerbatimChar"/>
        </w:rPr>
        <w:t xml:space="preserve">scripts/e2e_bluff_hunt.sh</w:t>
      </w:r>
      <w:r>
        <w:t xml:space="preserve"> </w:t>
      </w:r>
      <w:r>
        <w:t xml:space="preserve">is the canonical end-to-end smoke per Universal §11.4. It builds pherald, runs the full test suite, starts a real Gin server + hits every /v1 route + asserts response bodies, boots a real Postgres container via the</w:t>
      </w:r>
      <w:r>
        <w:t xml:space="preserve"> </w:t>
      </w:r>
      <w:r>
        <w:rPr>
          <w:rStyle w:val="VerbatimChar"/>
        </w:rPr>
        <w:t xml:space="preserve">containers/</w:t>
      </w:r>
      <w:r>
        <w:t xml:space="preserve"> </w:t>
      </w:r>
      <w:r>
        <w:t xml:space="preserve">submodule, runs the M2 integration tests against it, and graceful-shutdowns. ALL 14 invariants must PASS — a single FAIL means a real feature is broken for end users. At 2026-05-20 it reports 14/14 PASS.</w:t>
      </w:r>
    </w:p>
    <w:p>
      <w:pPr>
        <w:pStyle w:val="BodyText"/>
      </w:pPr>
      <w:r>
        <w:t xml:space="preserve">When the user asks to "add a feature" the spec is the source of truth — find the relevant §, then the relevant module + package, then the relevant HRD-NNN if one is already open. New work opens a new HRD-NNN in</w:t>
      </w:r>
      <w:r>
        <w:t xml:space="preserve"> </w:t>
      </w:r>
      <w:r>
        <w:rPr>
          <w:rStyle w:val="VerbatimChar"/>
        </w:rPr>
        <w:t xml:space="preserve">docs/Issues.md</w:t>
      </w:r>
      <w:r>
        <w:t xml:space="preserve"> </w:t>
      </w:r>
      <w:r>
        <w:t xml:space="preserve">per V3 §8.3 lifecycle.</w:t>
      </w:r>
    </w:p>
    <w:p>
      <w:pPr>
        <w:pStyle w:val="BodyText"/>
      </w:pPr>
      <w:r>
        <w:t xml:space="preserve">Do not invent build/test commands beyond what</w:t>
      </w:r>
      <w:r>
        <w:t xml:space="preserve"> </w:t>
      </w:r>
      <w:r>
        <w:rPr>
          <w:rStyle w:val="VerbatimChar"/>
        </w:rPr>
        <w:t xml:space="preserve">go test ./&lt;module&gt;/...</w:t>
      </w:r>
      <w:r>
        <w:t xml:space="preserve"> </w:t>
      </w:r>
      <w:r>
        <w:t xml:space="preserve">provides. Live-integration tests (Telegram bot, Claude Code session, real Postgres) require operator-supplied credentials — see</w:t>
      </w:r>
      <w:r>
        <w:t xml:space="preserve"> </w:t>
      </w:r>
      <w:r>
        <w:rPr>
          <w:rStyle w:val="VerbatimChar"/>
        </w:rPr>
        <w:t xml:space="preserve">docs/CONTINUATION.md</w:t>
      </w:r>
      <w:r>
        <w:t xml:space="preserve"> </w:t>
      </w:r>
      <w:r>
        <w:t xml:space="preserve">for the live-test handoff prompt.</w:t>
      </w:r>
    </w:p>
    <w:bookmarkEnd w:id="12"/>
    <w:bookmarkStart w:id="13" w:name="X113e14c17c8dcbc428318fbd14b02ebb01d29ca"/>
    <w:p>
      <w:pPr>
        <w:pStyle w:val="Heading2"/>
      </w:pPr>
      <w:r>
        <w:t xml:space="preserve">End-user-usability covenant (Herald §107 / Helix §11.4 — MANDATORY ANTI-BLUFF)</w:t>
      </w:r>
    </w:p>
    <w:p>
      <w:pPr>
        <w:pStyle w:val="FirstParagraph"/>
      </w:pPr>
      <w:r>
        <w:rPr>
          <w:b/>
          <w:bCs/>
        </w:rPr>
        <w:t xml:space="preserve">Forensic anchor — verbatim operator mandate:</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t xml:space="preserve">The bar for shipping any Herald feature is</w:t>
      </w:r>
      <w:r>
        <w:t xml:space="preserve"> </w:t>
      </w:r>
      <w:r>
        <w:rPr>
          <w:b/>
          <w:bCs/>
        </w:rPr>
        <w:t xml:space="preserve">NOT</w:t>
      </w:r>
      <w:r>
        <w:t xml:space="preserve"> </w:t>
      </w:r>
      <w:r>
        <w:t xml:space="preserve">"tests pass" — it is</w:t>
      </w:r>
      <w:r>
        <w:t xml:space="preserve"> </w:t>
      </w:r>
      <w:r>
        <w:rPr>
          <w:b/>
          <w:bCs/>
        </w:rPr>
        <w:t xml:space="preserve">"the end user of the flavor binary can actually use the feature."</w:t>
      </w:r>
      <w:r>
        <w:t xml:space="preserve"> </w:t>
      </w:r>
      <w:r>
        <w:t xml:space="preserve">Every PASS (unit, integration, gate, Challenge, smoke, e2e) MUST carry positive runtime evidence that the user-visible behaviour works. Metadata-only / configuration-only / "absence-of-error" / grep-only PASS are §11.4 PASS-bluffs and constitute critical defects regardless of how green the summary line looks. Canonical Herald authority:</w:t>
      </w:r>
      <w:r>
        <w:t xml:space="preserve"> </w:t>
      </w:r>
      <w:r>
        <w:rPr>
          <w:rStyle w:val="VerbatimChar"/>
        </w:rPr>
        <w:t xml:space="preserve">docs/guides/HERALD_CONSTITUTION.md</w:t>
      </w:r>
      <w:r>
        <w:t xml:space="preserve"> </w:t>
      </w:r>
      <w:r>
        <w:t xml:space="preserve">§107. Canonical Helix authority:</w:t>
      </w:r>
      <w:r>
        <w:t xml:space="preserve"> </w:t>
      </w:r>
      <w:r>
        <w:rPr>
          <w:rStyle w:val="VerbatimChar"/>
        </w:rPr>
        <w:t xml:space="preserve">&lt;discovered&gt;/Constitution.md</w:t>
      </w:r>
      <w:r>
        <w:t xml:space="preserve"> </w:t>
      </w:r>
      <w:r>
        <w:t xml:space="preserve">§11.4 + §11.4.1..§11.4.16 and</w:t>
      </w:r>
      <w:r>
        <w:t xml:space="preserve"> </w:t>
      </w:r>
      <w:r>
        <w:rPr>
          <w:rStyle w:val="VerbatimChar"/>
        </w:rPr>
        <w:t xml:space="preserve">&lt;discovered&gt;/CLAUDE.md</w:t>
      </w:r>
      <w:r>
        <w:t xml:space="preserve"> </w:t>
      </w:r>
      <w:r>
        <w:t xml:space="preserve">"MANDATORY ANTI-BLUFF COVENANT — END-USER QUALITY GUARANTEE". Canonical Herald evidence:</w:t>
      </w:r>
      <w:r>
        <w:t xml:space="preserve"> </w:t>
      </w:r>
      <w:r>
        <w:rPr>
          <w:rStyle w:val="VerbatimChar"/>
        </w:rPr>
        <w:t xml:space="preserve">scripts/e2e_bluff_hunt.sh</w:t>
      </w:r>
      <w:r>
        <w:t xml:space="preserve"> </w:t>
      </w:r>
      <w:r>
        <w:t xml:space="preserve">(14 invariants against real services; ALL must PASS). Inheritance gate invariant</w:t>
      </w:r>
      <w:r>
        <w:t xml:space="preserve"> </w:t>
      </w:r>
      <w:r>
        <w:rPr>
          <w:b/>
          <w:bCs/>
        </w:rPr>
        <w:t xml:space="preserve">I8a</w:t>
      </w:r>
      <w:r>
        <w:t xml:space="preserve"> </w:t>
      </w:r>
      <w:r>
        <w:t xml:space="preserve">asserts this covenant anchor is present in this file.</w:t>
      </w:r>
    </w:p>
    <w:bookmarkEnd w:id="13"/>
    <w:bookmarkStart w:id="14" w:name="mission-from-the-spec"/>
    <w:p>
      <w:pPr>
        <w:pStyle w:val="Heading2"/>
      </w:pPr>
      <w:r>
        <w:t xml:space="preserve">Mission (from the spec)</w:t>
      </w:r>
    </w:p>
    <w:p>
      <w:pPr>
        <w:pStyle w:val="BlockText"/>
      </w:pPr>
      <w:r>
        <w:t xml:space="preserve">Ingesting system events and reliably fanning them out to multiple notification channels so every alert reaches the right destination without confusion.</w:t>
      </w:r>
    </w:p>
    <w:p>
      <w:pPr>
        <w:pStyle w:val="FirstParagraph"/>
      </w:pPr>
      <w:r>
        <w:t xml:space="preserve">The spec mentions "Integration into the Constitution" as a planned section — Herald is intended to plug into a larger governance/policy system that lives outside this repo. Treat that as a real constraint when designing interfaces, even though the details are TBD.</w:t>
      </w:r>
    </w:p>
    <w:bookmarkEnd w:id="14"/>
    <w:bookmarkStart w:id="15" w:name="intended-stack"/>
    <w:p>
      <w:pPr>
        <w:pStyle w:val="Heading2"/>
      </w:pPr>
      <w:r>
        <w:t xml:space="preserve">Intended stack</w:t>
      </w:r>
    </w:p>
    <w:p>
      <w:pPr>
        <w:pStyle w:val="FirstParagraph"/>
      </w:pPr>
      <w:r>
        <w:t xml:space="preserve">Go, inferred from</w:t>
      </w:r>
      <w:r>
        <w:t xml:space="preserve"> </w:t>
      </w:r>
      <w:r>
        <w:rPr>
          <w:rStyle w:val="VerbatimChar"/>
        </w:rPr>
        <w:t xml:space="preserve">.gitignore</w:t>
      </w:r>
      <w:r>
        <w:t xml:space="preserve"> </w:t>
      </w:r>
      <w:r>
        <w:t xml:space="preserve">(</w:t>
      </w:r>
      <w:r>
        <w:rPr>
          <w:rStyle w:val="VerbatimChar"/>
        </w:rPr>
        <w:t xml:space="preserve">*.test</w:t>
      </w:r>
      <w:r>
        <w:t xml:space="preserve">,</w:t>
      </w:r>
      <w:r>
        <w:t xml:space="preserve"> </w:t>
      </w:r>
      <w:r>
        <w:rPr>
          <w:rStyle w:val="VerbatimChar"/>
        </w:rPr>
        <w:t xml:space="preserve">go.work</w:t>
      </w:r>
      <w:r>
        <w:t xml:space="preserve">,</w:t>
      </w:r>
      <w:r>
        <w:t xml:space="preserve"> </w:t>
      </w:r>
      <w:r>
        <w:rPr>
          <w:rStyle w:val="VerbatimChar"/>
        </w:rPr>
        <w:t xml:space="preserve">go.work.sum</w:t>
      </w:r>
      <w:r>
        <w:t xml:space="preserve">,</w:t>
      </w:r>
      <w:r>
        <w:t xml:space="preserve"> </w:t>
      </w:r>
      <w:r>
        <w:rPr>
          <w:rStyle w:val="VerbatimChar"/>
        </w:rPr>
        <w:t xml:space="preserve">coverage.*</w:t>
      </w:r>
      <w:r>
        <w:t xml:space="preserve">,</w:t>
      </w:r>
      <w:r>
        <w:t xml:space="preserve"> </w:t>
      </w:r>
      <w:r>
        <w:rPr>
          <w:rStyle w:val="VerbatimChar"/>
        </w:rPr>
        <w:t xml:space="preserve">profile.cov</w:t>
      </w:r>
      <w:r>
        <w:t xml:space="preserve">). When you scaffold, default to standard</w:t>
      </w:r>
      <w:r>
        <w:t xml:space="preserve"> </w:t>
      </w:r>
      <w:r>
        <w:rPr>
          <w:rStyle w:val="VerbatimChar"/>
        </w:rPr>
        <w:t xml:space="preserve">cmd/</w:t>
      </w:r>
      <w:r>
        <w:t xml:space="preserve"> </w:t>
      </w:r>
      <w:r>
        <w:t xml:space="preserve">+</w:t>
      </w:r>
      <w:r>
        <w:t xml:space="preserve"> </w:t>
      </w:r>
      <w:r>
        <w:rPr>
          <w:rStyle w:val="VerbatimChar"/>
        </w:rPr>
        <w:t xml:space="preserve">internal/</w:t>
      </w:r>
      <w:r>
        <w:t xml:space="preserve"> </w:t>
      </w:r>
      <w:r>
        <w:t xml:space="preserve">layout unless the user asks otherwise, and use</w:t>
      </w:r>
      <w:r>
        <w:t xml:space="preserve"> </w:t>
      </w:r>
      <w:r>
        <w:rPr>
          <w:rStyle w:val="VerbatimChar"/>
        </w:rPr>
        <w:t xml:space="preserve">go test ./...</w:t>
      </w:r>
      <w:r>
        <w:t xml:space="preserve"> </w:t>
      </w:r>
      <w:r>
        <w:t xml:space="preserve">/</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 there is no project-specific tooling to override these yet.</w:t>
      </w:r>
    </w:p>
    <w:bookmarkEnd w:id="15"/>
    <w:bookmarkStart w:id="16" w:name="multi-host-mirror-convention"/>
    <w:p>
      <w:pPr>
        <w:pStyle w:val="Heading2"/>
      </w:pPr>
      <w:r>
        <w:t xml:space="preserve">Multi-host mirror convention</w:t>
      </w:r>
    </w:p>
    <w:p>
      <w:pPr>
        <w:pStyle w:val="FirstParagraph"/>
      </w:pPr>
      <w:r>
        <w:rPr>
          <w:rStyle w:val="VerbatimChar"/>
        </w:rPr>
        <w:t xml:space="preserve">upstreams/</w:t>
      </w:r>
      <w:r>
        <w:t xml:space="preserve"> </w:t>
      </w:r>
      <w:r>
        <w:t xml:space="preserve">contains one script per mirror host:</w:t>
      </w:r>
    </w:p>
    <w:p>
      <w:pPr>
        <w:pStyle w:val="Compact"/>
        <w:numPr>
          <w:ilvl w:val="0"/>
          <w:numId w:val="1005"/>
        </w:numPr>
      </w:pPr>
      <w:r>
        <w:rPr>
          <w:rStyle w:val="VerbatimChar"/>
        </w:rPr>
        <w:t xml:space="preserve">GitHub.sh</w:t>
      </w:r>
      <w:r>
        <w:t xml:space="preserve"> </w:t>
      </w:r>
      <w:r>
        <w:t xml:space="preserve">— primary:</w:t>
      </w:r>
      <w:r>
        <w:t xml:space="preserve"> </w:t>
      </w:r>
      <w:r>
        <w:rPr>
          <w:rStyle w:val="VerbatimChar"/>
        </w:rPr>
        <w:t xml:space="preserve">git@github.com:vasic-digital/Herald.git</w:t>
      </w:r>
    </w:p>
    <w:p>
      <w:pPr>
        <w:pStyle w:val="Compact"/>
        <w:numPr>
          <w:ilvl w:val="0"/>
          <w:numId w:val="1005"/>
        </w:numPr>
      </w:pPr>
      <w:r>
        <w:rPr>
          <w:rStyle w:val="VerbatimChar"/>
        </w:rPr>
        <w:t xml:space="preserve">GitLab.sh</w:t>
      </w:r>
      <w:r>
        <w:t xml:space="preserve"> </w:t>
      </w:r>
      <w:r>
        <w:t xml:space="preserve">—</w:t>
      </w:r>
      <w:r>
        <w:t xml:space="preserve"> </w:t>
      </w:r>
      <w:r>
        <w:rPr>
          <w:rStyle w:val="VerbatimChar"/>
        </w:rPr>
        <w:t xml:space="preserve">git@gitlab.com:vasic-digital/herald.git</w:t>
      </w:r>
    </w:p>
    <w:p>
      <w:pPr>
        <w:pStyle w:val="Compact"/>
        <w:numPr>
          <w:ilvl w:val="0"/>
          <w:numId w:val="1005"/>
        </w:numPr>
      </w:pPr>
      <w:r>
        <w:rPr>
          <w:rStyle w:val="VerbatimChar"/>
        </w:rPr>
        <w:t xml:space="preserve">GitFlic.sh</w:t>
      </w:r>
      <w:r>
        <w:t xml:space="preserve"> </w:t>
      </w:r>
      <w:r>
        <w:t xml:space="preserve">—</w:t>
      </w:r>
      <w:r>
        <w:t xml:space="preserve"> </w:t>
      </w:r>
      <w:r>
        <w:rPr>
          <w:rStyle w:val="VerbatimChar"/>
        </w:rPr>
        <w:t xml:space="preserve">git@gitflic.ru:vasic-digital/herald.git</w:t>
      </w:r>
    </w:p>
    <w:p>
      <w:pPr>
        <w:pStyle w:val="Compact"/>
        <w:numPr>
          <w:ilvl w:val="0"/>
          <w:numId w:val="1005"/>
        </w:numPr>
      </w:pPr>
      <w:r>
        <w:rPr>
          <w:rStyle w:val="VerbatimChar"/>
        </w:rPr>
        <w:t xml:space="preserve">GitVerse.sh</w:t>
      </w:r>
      <w:r>
        <w:t xml:space="preserve"> </w:t>
      </w:r>
      <w:r>
        <w:t xml:space="preserve">—</w:t>
      </w:r>
      <w:r>
        <w:t xml:space="preserve"> </w:t>
      </w:r>
      <w:r>
        <w:rPr>
          <w:rStyle w:val="VerbatimChar"/>
        </w:rPr>
        <w:t xml:space="preserve">git@gitverse.ru:vasic-digital/Herald.git</w:t>
      </w:r>
    </w:p>
    <w:p>
      <w:pPr>
        <w:pStyle w:val="FirstParagraph"/>
      </w:pPr>
      <w:r>
        <w:t xml:space="preserve">Each script exports a single</w:t>
      </w:r>
      <w:r>
        <w:t xml:space="preserve"> </w:t>
      </w:r>
      <w:r>
        <w:rPr>
          <w:rStyle w:val="VerbatimChar"/>
        </w:rPr>
        <w:t xml:space="preserve">UPSTREAMABLE_REPOSITORY</w:t>
      </w:r>
      <w:r>
        <w:t xml:space="preserve"> </w:t>
      </w:r>
      <w:r>
        <w:t xml:space="preserve">variable and is meant to be</w:t>
      </w:r>
      <w:r>
        <w:t xml:space="preserve"> </w:t>
      </w:r>
      <w:r>
        <w:rPr>
          <w:b/>
          <w:bCs/>
        </w:rPr>
        <w:t xml:space="preserve">sourced</w:t>
      </w:r>
      <w:r>
        <w:t xml:space="preserve"> </w:t>
      </w:r>
      <w:r>
        <w:t xml:space="preserve">(</w:t>
      </w:r>
      <w:r>
        <w:rPr>
          <w:rStyle w:val="VerbatimChar"/>
        </w:rPr>
        <w:t xml:space="preserve">. upstreams/GitHub.sh</w:t>
      </w:r>
      <w:r>
        <w:t xml:space="preserve">), not executed for its output. The naming is intentional — capitalization matches the host's brand (GitFlic, GitVerse). Don't normalize these to lowercase or collapse them into one file; the per-host split is the interface other tooling (likely external mirror-push scripts) keys on.</w:t>
      </w:r>
    </w:p>
    <w:p>
      <w:pPr>
        <w:pStyle w:val="BodyText"/>
      </w:pPr>
      <w:r>
        <w:t xml:space="preserve">When adding a new mirror, copy an existing script and change only the URL — keep the</w:t>
      </w:r>
      <w:r>
        <w:t xml:space="preserve"> </w:t>
      </w:r>
      <w:r>
        <w:rPr>
          <w:rStyle w:val="VerbatimChar"/>
        </w:rPr>
        <w:t xml:space="preserve">#!/bin/bash</w:t>
      </w:r>
      <w:r>
        <w:t xml:space="preserve"> </w:t>
      </w:r>
      <w:r>
        <w:t xml:space="preserve">shebang, blank line, and</w:t>
      </w:r>
      <w:r>
        <w:t xml:space="preserve"> </w:t>
      </w:r>
      <w:r>
        <w:rPr>
          <w:rStyle w:val="VerbatimChar"/>
        </w:rPr>
        <w:t xml:space="preserve">export</w:t>
      </w:r>
      <w:r>
        <w:t xml:space="preserve"> </w:t>
      </w:r>
      <w:r>
        <w:t xml:space="preserve">form identical so any consumer that greps these files keeps working.</w:t>
      </w:r>
    </w:p>
    <w:bookmarkEnd w:id="16"/>
    <w:bookmarkStart w:id="17" w:name="X81ca6bc650b2a73abee076663d5efd898631acb"/>
    <w:p>
      <w:pPr>
        <w:pStyle w:val="Heading2"/>
      </w:pPr>
      <w:r>
        <w:t xml:space="preserve">Inheritance gate (run before any commit touching root docs)</w:t>
      </w:r>
    </w:p>
    <w:p>
      <w:pPr>
        <w:pStyle w:val="SourceCode"/>
      </w:pPr>
      <w:r>
        <w:rPr>
          <w:rStyle w:val="FunctionTok"/>
        </w:rPr>
        <w:t xml:space="preserve">bash</w:t>
      </w:r>
      <w:r>
        <w:rPr>
          <w:rStyle w:val="NormalTok"/>
        </w:rPr>
        <w:t xml:space="preserve"> tests/test_constitution_inheritance.sh        </w:t>
      </w:r>
      <w:r>
        <w:rPr>
          <w:rStyle w:val="CommentTok"/>
        </w:rPr>
        <w:t xml:space="preserve"># 6 invariants (I1–I6), 9 checks</w:t>
      </w:r>
      <w:r>
        <w:br/>
      </w:r>
      <w:r>
        <w:rPr>
          <w:rStyle w:val="FunctionTok"/>
        </w:rPr>
        <w:t xml:space="preserve">bash</w:t>
      </w:r>
      <w:r>
        <w:rPr>
          <w:rStyle w:val="NormalTok"/>
        </w:rPr>
        <w:t xml:space="preserve"> tests/test_constitution_inheritance_meta.sh   </w:t>
      </w:r>
      <w:r>
        <w:rPr>
          <w:rStyle w:val="CommentTok"/>
        </w:rPr>
        <w:t xml:space="preserve"># paired §1.1 mutation proof</w:t>
      </w:r>
    </w:p>
    <w:p>
      <w:pPr>
        <w:pStyle w:val="FirstParagraph"/>
      </w:pPr>
      <w:r>
        <w:t xml:space="preserve">The gate inline-walks parents for</w:t>
      </w:r>
      <w:r>
        <w:t xml:space="preserve"> </w:t>
      </w:r>
      <w:r>
        <w:rPr>
          <w:rStyle w:val="VerbatimChar"/>
        </w:rPr>
        <w:t xml:space="preserve">&lt;ancestor&gt;/constitution/Constitution.md</w:t>
      </w:r>
      <w:r>
        <w:t xml:space="preserve">. I5 is split into I5a–d (one check per root doc that must declare parent-discovery:</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docs/guides/HERALD_CONSTITUTION.md</w:t>
      </w:r>
      <w:r>
        <w:t xml:space="preserve">,</w:t>
      </w:r>
      <w:r>
        <w:t xml:space="preserve"> </w:t>
      </w:r>
      <w:r>
        <w:rPr>
          <w:rStyle w:val="VerbatimChar"/>
        </w:rPr>
        <w:t xml:space="preserve">README.md</w:t>
      </w:r>
      <w:r>
        <w:t xml:space="preserve">). I6 forbids re-introducing</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 the §104 invariant.</w:t>
      </w:r>
    </w:p>
    <w:p>
      <w:pPr>
        <w:pStyle w:val="BodyText"/>
      </w:pPr>
      <w:r>
        <w:t xml:space="preserve">If either script fails, fix at root cause per Universal §11.4.4. Never silently accept the FAIL.</w:t>
      </w:r>
    </w:p>
    <w:bookmarkEnd w:id="17"/>
    <w:bookmarkStart w:id="18" w:name="X32120c2cbf4d615e5864fa1300f097d3beccf79"/>
    <w:p>
      <w:pPr>
        <w:pStyle w:val="Heading2"/>
      </w:pPr>
      <w:r>
        <w:t xml:space="preserve">Spec-change rule (load-bearing —</w:t>
      </w:r>
      <w:r>
        <w:t xml:space="preserve"> </w:t>
      </w:r>
      <w:r>
        <w:rPr>
          <w:rStyle w:val="VerbatimChar"/>
        </w:rPr>
        <w:t xml:space="preserve">docs/specs/mvp/specification.V3.md</w:t>
      </w:r>
      <w:r>
        <w:t xml:space="preserve"> </w:t>
      </w:r>
      <w:r>
        <w:t xml:space="preserve">§"Specification documents")</w:t>
      </w:r>
    </w:p>
    <w:p>
      <w:pPr>
        <w:pStyle w:val="FirstParagraph"/>
      </w:pPr>
      <w:r>
        <w:t xml:space="preserve">Any modification to a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w:t>
      </w:r>
      <w:r>
        <w:t xml:space="preserve"> </w:t>
      </w:r>
      <w:r>
        <w:t xml:space="preserve">of the implied changes — you may not edit the spec in isolation. This rule does</w:t>
      </w:r>
      <w:r>
        <w:t xml:space="preserve"> </w:t>
      </w:r>
      <w:r>
        <w:rPr>
          <w:b/>
          <w:bCs/>
        </w:rPr>
        <w:t xml:space="preserve">not</w:t>
      </w:r>
      <w:r>
        <w:t xml:space="preserve"> </w:t>
      </w:r>
      <w:r>
        <w:t xml:space="preserve">apply to creating or renaming files; for those, ask the operator what to do with the new path. Treat every spec edit as a project-wide ripple, not a doc tweak.</w:t>
      </w:r>
    </w:p>
    <w:bookmarkEnd w:id="18"/>
    <w:bookmarkStart w:id="19" w:name="X9a65c2c879d82c2edb3d79b214e6ac5cac77ed9"/>
    <w:p>
      <w:pPr>
        <w:pStyle w:val="Heading2"/>
      </w:pPr>
      <w:r>
        <w:t xml:space="preserve">Project conventions from the spec (apply when scaffolding)</w:t>
      </w:r>
    </w:p>
    <w:p>
      <w:pPr>
        <w:pStyle w:val="FirstParagraph"/>
      </w:pPr>
      <w:r>
        <w:t xml:space="preserve">These are declared in</w:t>
      </w:r>
      <w:r>
        <w:t xml:space="preserve"> </w:t>
      </w:r>
      <w:r>
        <w:rPr>
          <w:rStyle w:val="VerbatimChar"/>
        </w:rPr>
        <w:t xml:space="preserve">docs/specs/mvp/specification.V3.md</w:t>
      </w:r>
      <w:r>
        <w:t xml:space="preserve"> </w:t>
      </w:r>
      <w:r>
        <w:t xml:space="preserve">and are easy to miss because no code enforces them yet:</w:t>
      </w:r>
    </w:p>
    <w:p>
      <w:pPr>
        <w:pStyle w:val="Compact"/>
        <w:numPr>
          <w:ilvl w:val="0"/>
          <w:numId w:val="1006"/>
        </w:numPr>
      </w:pPr>
      <w:r>
        <w:rPr>
          <w:b/>
          <w:bCs/>
        </w:rPr>
        <w:t xml:space="preserve">Workable-item prefix:</w:t>
      </w:r>
      <w:r>
        <w:t xml:space="preserve"> </w:t>
      </w:r>
      <w:r>
        <w:rPr>
          <w:rStyle w:val="VerbatimChar"/>
        </w:rPr>
        <w:t xml:space="preserve">HRD-</w:t>
      </w:r>
      <w:r>
        <w:t xml:space="preserve"> </w:t>
      </w:r>
      <w:r>
        <w:t xml:space="preserve">(e.g.</w:t>
      </w:r>
      <w:r>
        <w:t xml:space="preserve"> </w:t>
      </w:r>
      <w:r>
        <w:rPr>
          <w:rStyle w:val="VerbatimChar"/>
        </w:rPr>
        <w:t xml:space="preserve">HRD-001</w:t>
      </w:r>
      <w:r>
        <w:t xml:space="preserve">). Use it for issues, status entries, fix logs.</w:t>
      </w:r>
    </w:p>
    <w:p>
      <w:pPr>
        <w:pStyle w:val="Compact"/>
        <w:numPr>
          <w:ilvl w:val="0"/>
          <w:numId w:val="1006"/>
        </w:numPr>
      </w:pPr>
      <w:r>
        <w:rPr>
          <w:b/>
          <w:bCs/>
        </w:rPr>
        <w:t xml:space="preserve">Flavor binaries:</w:t>
      </w:r>
      <w:r>
        <w:t xml:space="preserve"> </w:t>
      </w:r>
      <w:r>
        <w:t xml:space="preserve">each Herald flavor ships as its own CLI binary, named</w:t>
      </w:r>
      <w:r>
        <w:t xml:space="preserve"> </w:t>
      </w:r>
      <w:r>
        <w:rPr>
          <w:rStyle w:val="VerbatimChar"/>
        </w:rPr>
        <w:t xml:space="preserve">&lt;prefix&gt;herald</w:t>
      </w:r>
      <w:r>
        <w:t xml:space="preserve"> </w:t>
      </w:r>
      <w:r>
        <w:t xml:space="preserve">—</w:t>
      </w:r>
      <w:r>
        <w:t xml:space="preserve"> </w:t>
      </w:r>
      <w:r>
        <w:rPr>
          <w:rStyle w:val="VerbatimChar"/>
        </w:rPr>
        <w:t xml:space="preserve">pherald</w:t>
      </w:r>
      <w:r>
        <w:t xml:space="preserve"> </w:t>
      </w:r>
      <w:r>
        <w:t xml:space="preserve">(Project Herald),</w:t>
      </w:r>
      <w:r>
        <w:t xml:space="preserve"> </w:t>
      </w:r>
      <w:r>
        <w:rPr>
          <w:rStyle w:val="VerbatimChar"/>
        </w:rPr>
        <w:t xml:space="preserve">sherald</w:t>
      </w:r>
      <w:r>
        <w:t xml:space="preserve"> </w:t>
      </w:r>
      <w:r>
        <w:t xml:space="preserve">(System Herald), etc. Designed for CI / pipeline / cron / AI-agent invocation.</w:t>
      </w:r>
    </w:p>
    <w:p>
      <w:pPr>
        <w:pStyle w:val="Compact"/>
        <w:numPr>
          <w:ilvl w:val="0"/>
          <w:numId w:val="1006"/>
        </w:numPr>
      </w:pPr>
      <w:r>
        <w:rPr>
          <w:b/>
          <w:bCs/>
        </w:rPr>
        <w:t xml:space="preserve">Layered shared code:</w:t>
      </w:r>
      <w:r>
        <w:t xml:space="preserve"> </w:t>
      </w:r>
      <w:r>
        <w:rPr>
          <w:rStyle w:val="VerbatimChar"/>
        </w:rPr>
        <w:t xml:space="preserve">commons</w:t>
      </w:r>
      <w:r>
        <w:t xml:space="preserve"> </w:t>
      </w:r>
      <w:r>
        <w:t xml:space="preserve">→</w:t>
      </w:r>
      <w:r>
        <w:t xml:space="preserve"> </w:t>
      </w:r>
      <w:r>
        <w:rPr>
          <w:rStyle w:val="VerbatimChar"/>
        </w:rPr>
        <w:t xml:space="preserve">commons_messaging</w:t>
      </w:r>
      <w:r>
        <w:t xml:space="preserve"> </w:t>
      </w:r>
      <w:r>
        <w:t xml:space="preserve">(level 1) → … → flavor. Put new shared code in the</w:t>
      </w:r>
      <w:r>
        <w:t xml:space="preserve"> </w:t>
      </w:r>
      <w:r>
        <w:rPr>
          <w:b/>
          <w:bCs/>
        </w:rPr>
        <w:t xml:space="preserve">lowest layer that still makes sense</w:t>
      </w:r>
      <w:r>
        <w:t xml:space="preserve">; flavors inherit upward.</w:t>
      </w:r>
      <w:r>
        <w:t xml:space="preserve"> </w:t>
      </w:r>
      <w:r>
        <w:rPr>
          <w:rStyle w:val="VerbatimChar"/>
        </w:rPr>
        <w:t xml:space="preserve">commons_messaging</w:t>
      </w:r>
      <w:r>
        <w:t xml:space="preserve"> </w:t>
      </w:r>
      <w:r>
        <w:t xml:space="preserve">owns the Telegram / Max / Slack / Email / Markdown-export integrations.</w:t>
      </w:r>
    </w:p>
    <w:p>
      <w:pPr>
        <w:pStyle w:val="Compact"/>
        <w:numPr>
          <w:ilvl w:val="0"/>
          <w:numId w:val="1006"/>
        </w:numPr>
      </w:pPr>
      <w:r>
        <w:rPr>
          <w:b/>
          <w:bCs/>
        </w:rPr>
        <w:t xml:space="preserve">Messenger integration priority:</w:t>
      </w:r>
      <w:r>
        <w:t xml:space="preserve"> </w:t>
      </w:r>
      <w:r>
        <w:t xml:space="preserve">Telegram → Max → Slack (then Email, then Markdown/PDF/HTML export). Microsoft Teams, Lark, Discord, WhatsApp, Viber are explicitly later iterations — don't pre-implement.</w:t>
      </w:r>
    </w:p>
    <w:p>
      <w:pPr>
        <w:pStyle w:val="Compact"/>
        <w:numPr>
          <w:ilvl w:val="0"/>
          <w:numId w:val="1006"/>
        </w:numPr>
      </w:pPr>
      <w:r>
        <w:rPr>
          <w:b/>
          <w:bCs/>
        </w:rPr>
        <w:t xml:space="preserve">Conversation diary:</w:t>
      </w:r>
      <w:r>
        <w:t xml:space="preserve"> </w:t>
      </w:r>
      <w:r>
        <w:t xml:space="preserve">every message in/out is appended to</w:t>
      </w:r>
      <w:r>
        <w:t xml:space="preserve"> </w:t>
      </w:r>
      <w:r>
        <w:rPr>
          <w:rStyle w:val="VerbatimChar"/>
        </w:rPr>
        <w:t xml:space="preserve">docs/herald/diary/main.md</w:t>
      </w:r>
      <w:r>
        <w:t xml:space="preserve"> </w:t>
      </w:r>
      <w:r>
        <w:t xml:space="preserve">and re-exported to</w:t>
      </w:r>
      <w:r>
        <w:t xml:space="preserve"> </w:t>
      </w:r>
      <w:r>
        <w:rPr>
          <w:rStyle w:val="VerbatimChar"/>
        </w:rPr>
        <w:t xml:space="preserve">main.pdf</w:t>
      </w:r>
      <w:r>
        <w:t xml:space="preserve"> </w:t>
      </w:r>
      <w:r>
        <w:t xml:space="preserve">+</w:t>
      </w:r>
      <w:r>
        <w:t xml:space="preserve"> </w:t>
      </w:r>
      <w:r>
        <w:rPr>
          <w:rStyle w:val="VerbatimChar"/>
        </w:rPr>
        <w:t xml:space="preserve">main.html</w:t>
      </w:r>
      <w:r>
        <w:t xml:space="preserve"> </w:t>
      </w:r>
      <w:r>
        <w:t xml:space="preserve">in sync. Don't break this invariant when designing channel I/O.</w:t>
      </w:r>
    </w:p>
    <w:p>
      <w:pPr>
        <w:pStyle w:val="Compact"/>
        <w:numPr>
          <w:ilvl w:val="0"/>
          <w:numId w:val="1006"/>
        </w:numPr>
      </w:pPr>
      <w:r>
        <w:rPr>
          <w:b/>
          <w:bCs/>
        </w:rPr>
        <w:t xml:space="preserve">Container stack:</w:t>
      </w:r>
      <w:r>
        <w:t xml:space="preserve"> </w:t>
      </w:r>
      <w:r>
        <w:t xml:space="preserve">Postgres (main DB) + Redis (in-memory) bundled via the</w:t>
      </w:r>
      <w:r>
        <w:t xml:space="preserve"> </w:t>
      </w:r>
      <w:r>
        <w:rPr>
          <w:rStyle w:val="VerbatimChar"/>
        </w:rPr>
        <w:t xml:space="preserve">containers</w:t>
      </w:r>
      <w:r>
        <w:t xml:space="preserve"> </w:t>
      </w:r>
      <w:r>
        <w:t xml:space="preserve">submodule (</w:t>
      </w:r>
      <w:r>
        <w:rPr>
          <w:rStyle w:val="VerbatimChar"/>
        </w:rPr>
        <w:t xml:space="preserve">https://github.com/vasic-digital/containers</w:t>
      </w:r>
      <w:r>
        <w:t xml:space="preserve">). All container names start with</w:t>
      </w:r>
      <w:r>
        <w:t xml:space="preserve"> </w:t>
      </w:r>
      <w:r>
        <w:rPr>
          <w:rStyle w:val="VerbatimChar"/>
        </w:rPr>
        <w:t xml:space="preserve">herald</w:t>
      </w:r>
      <w:r>
        <w:t xml:space="preserve">; all host ports start with</w:t>
      </w:r>
      <w:r>
        <w:t xml:space="preserve"> </w:t>
      </w:r>
      <w:r>
        <w:rPr>
          <w:rStyle w:val="VerbatimChar"/>
        </w:rPr>
        <w:t xml:space="preserve">70XXX</w:t>
      </w:r>
      <w:r>
        <w:t xml:space="preserve"> </w:t>
      </w:r>
      <w:r>
        <w:t xml:space="preserve">(70001, 70002, …) to avoid collisions.</w:t>
      </w:r>
    </w:p>
    <w:p>
      <w:pPr>
        <w:pStyle w:val="Compact"/>
        <w:numPr>
          <w:ilvl w:val="0"/>
          <w:numId w:val="1006"/>
        </w:numPr>
      </w:pPr>
      <w:r>
        <w:rPr>
          <w:b/>
          <w:bCs/>
        </w:rPr>
        <w:t xml:space="preserve">Credentials:</w:t>
      </w:r>
      <w:r>
        <w:t xml:space="preserve"> </w:t>
      </w:r>
      <w:r>
        <w:rPr>
          <w:rStyle w:val="VerbatimChar"/>
        </w:rPr>
        <w:t xml:space="preserve">.env</w:t>
      </w:r>
      <w:r>
        <w:t xml:space="preserve"> </w:t>
      </w:r>
      <w:r>
        <w:t xml:space="preserve">(git-ignored) with a committed</w:t>
      </w:r>
      <w:r>
        <w:t xml:space="preserve"> </w:t>
      </w:r>
      <w:r>
        <w:rPr>
          <w:rStyle w:val="VerbatimChar"/>
        </w:rPr>
        <w:t xml:space="preserve">.env.example</w:t>
      </w:r>
      <w:r>
        <w:t xml:space="preserve">. Resolution order: exported shell vars from</w:t>
      </w:r>
      <w:r>
        <w:t xml:space="preserve"> </w:t>
      </w:r>
      <w:r>
        <w:rPr>
          <w:rStyle w:val="VerbatimChar"/>
        </w:rPr>
        <w:t xml:space="preserve">.bashrc</w:t>
      </w:r>
      <w:r>
        <w:t xml:space="preserve">/</w:t>
      </w:r>
      <w:r>
        <w:rPr>
          <w:rStyle w:val="VerbatimChar"/>
        </w:rPr>
        <w:t xml:space="preserve">.zshrc</w:t>
      </w:r>
      <w:r>
        <w:t xml:space="preserve"> </w:t>
      </w:r>
      <w:r>
        <w:t xml:space="preserve">load first;</w:t>
      </w:r>
      <w:r>
        <w:t xml:space="preserve"> </w:t>
      </w:r>
      <w:r>
        <w:rPr>
          <w:rStyle w:val="VerbatimChar"/>
        </w:rPr>
        <w:t xml:space="preserve">.env</w:t>
      </w:r>
      <w:r>
        <w:t xml:space="preserve"> </w:t>
      </w:r>
      <w:r>
        <w:t xml:space="preserve">is fallback only (never overrides shell exports).</w:t>
      </w:r>
      <w:r>
        <w:t xml:space="preserve"> </w:t>
      </w:r>
      <w:r>
        <w:rPr>
          <w:b/>
          <w:bCs/>
        </w:rPr>
        <w:t xml:space="preserve">For step-by-step setup of every supported messenger + LLM dispatcher</w:t>
      </w:r>
      <w:r>
        <w:t xml:space="preserve">, see</w:t>
      </w:r>
      <w:r>
        <w:t xml:space="preserve"> </w:t>
      </w:r>
      <w:r>
        <w:rPr>
          <w:rStyle w:val="VerbatimChar"/>
        </w:rPr>
        <w:t xml:space="preserve">docs/guides/OPERATOR_CREDENTIALS.md</w:t>
      </w:r>
      <w:r>
        <w:t xml:space="preserve"> </w:t>
      </w:r>
      <w:r>
        <w:t xml:space="preserve">— comprehensive guide covering Postgres, Redis, Telegram (HRD-011), Claude Code (HRD-012), plus reserved env-var names for planned channels (Slack, Email, Max, Teams, …) and dispatchers. The guide includes an audit checklist to run before every commit.</w:t>
      </w:r>
    </w:p>
    <w:p>
      <w:pPr>
        <w:pStyle w:val="Compact"/>
        <w:numPr>
          <w:ilvl w:val="0"/>
          <w:numId w:val="1006"/>
        </w:numPr>
      </w:pPr>
      <w:r>
        <w:rPr>
          <w:b/>
          <w:bCs/>
        </w:rPr>
        <w:t xml:space="preserve">Vendored SDKs:</w:t>
      </w:r>
      <w:r>
        <w:t xml:space="preserve"> </w:t>
      </w:r>
      <w:r>
        <w:t xml:space="preserve">any official/unofficial messenger SDK or API client we depend on goes in as a</w:t>
      </w:r>
      <w:r>
        <w:t xml:space="preserve"> </w:t>
      </w:r>
      <w:r>
        <w:rPr>
          <w:b/>
          <w:bCs/>
        </w:rPr>
        <w:t xml:space="preserve">git submodule</w:t>
      </w:r>
      <w:r>
        <w:t xml:space="preserve">, e.g.</w:t>
      </w:r>
      <w:r>
        <w:t xml:space="preserve"> </w:t>
      </w:r>
      <w:r>
        <w:rPr>
          <w:rStyle w:val="VerbatimChar"/>
        </w:rPr>
        <w:t xml:space="preserve">commons_messaging/sdk/telegram</w:t>
      </w:r>
      <w:r>
        <w:t xml:space="preserve"> </w:t>
      </w:r>
      <w:r>
        <w:t xml:space="preserve">or</w:t>
      </w:r>
      <w:r>
        <w:t xml:space="preserve"> </w:t>
      </w:r>
      <w:r>
        <w:rPr>
          <w:rStyle w:val="VerbatimChar"/>
        </w:rPr>
        <w:t xml:space="preserve">commons_messaging/api/telegram</w:t>
      </w:r>
      <w:r>
        <w:t xml:space="preserve"> </w:t>
      </w:r>
      <w:r>
        <w:t xml:space="preserve">— not</w:t>
      </w:r>
      <w:r>
        <w:t xml:space="preserve"> </w:t>
      </w:r>
      <w:r>
        <w:rPr>
          <w:rStyle w:val="VerbatimChar"/>
        </w:rPr>
        <w:t xml:space="preserve">go get</w:t>
      </w:r>
      <w:r>
        <w:t xml:space="preserve">'d into</w:t>
      </w:r>
      <w:r>
        <w:t xml:space="preserve"> </w:t>
      </w:r>
      <w:r>
        <w:rPr>
          <w:rStyle w:val="VerbatimChar"/>
        </w:rPr>
        <w:t xml:space="preserve">go.mod</w:t>
      </w:r>
      <w:r>
        <w:t xml:space="preserve">.</w:t>
      </w:r>
    </w:p>
    <w:bookmarkEnd w:id="19"/>
    <w:bookmarkStart w:id="20" w:name="X9633c229000ce516a1919fd07cb27a4f52cfbed"/>
    <w:p>
      <w:pPr>
        <w:pStyle w:val="Heading2"/>
      </w:pPr>
      <w:r>
        <w:rPr>
          <w:rStyle w:val="VerbatimChar"/>
        </w:rPr>
        <w:t xml:space="preserve">constitutable/</w:t>
      </w:r>
      <w:r>
        <w:t xml:space="preserve"> </w:t>
      </w:r>
      <w:r>
        <w:t xml:space="preserve">directory (parent-project extension hook)</w:t>
      </w:r>
    </w:p>
    <w:p>
      <w:pPr>
        <w:pStyle w:val="FirstParagraph"/>
      </w:pPr>
      <w:r>
        <w:t xml:space="preserve">The empty</w:t>
      </w:r>
      <w:r>
        <w:t xml:space="preserve"> </w:t>
      </w:r>
      <w:r>
        <w:rPr>
          <w:rStyle w:val="VerbatimChar"/>
        </w:rPr>
        <w:t xml:space="preserve">constitutable/</w:t>
      </w:r>
      <w:r>
        <w:t xml:space="preserve"> </w:t>
      </w:r>
      <w:r>
        <w:t xml:space="preserve">directory at the repo root is intentional. Per the spec, a parent project may drop additional</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(in</w:t>
      </w:r>
      <w:r>
        <w:t xml:space="preserve"> </w:t>
      </w:r>
      <w:r>
        <w:rPr>
          <w:rStyle w:val="VerbatimChar"/>
        </w:rPr>
        <w:t xml:space="preserve">constitutable/</w:t>
      </w:r>
      <w:r>
        <w:t xml:space="preserve">,</w:t>
      </w:r>
      <w:r>
        <w:t xml:space="preserve"> </w:t>
      </w:r>
      <w:r>
        <w:rPr>
          <w:rStyle w:val="VerbatimChar"/>
        </w:rPr>
        <w:t xml:space="preserve">constitutable/&lt;flavor&gt;/</w:t>
      </w:r>
      <w:r>
        <w:t xml:space="preserve">,</w:t>
      </w:r>
      <w:r>
        <w:t xml:space="preserve"> </w:t>
      </w:r>
      <w:r>
        <w:rPr>
          <w:rStyle w:val="VerbatimChar"/>
        </w:rPr>
        <w:t xml:space="preserve">constitutable/&lt;flavor&gt;/&lt;variant&gt;/</w:t>
      </w:r>
      <w:r>
        <w:t xml:space="preserve">, etc.) to layer extensions or overrides on top of the discovered</w:t>
      </w:r>
      <w:r>
        <w:t xml:space="preserve"> </w:t>
      </w:r>
      <w:r>
        <w:rPr>
          <w:rStyle w:val="VerbatimChar"/>
        </w:rPr>
        <w:t xml:space="preserve">constitution/</w:t>
      </w:r>
      <w:r>
        <w:t xml:space="preserve"> </w:t>
      </w:r>
      <w:r>
        <w:t xml:space="preserve">submodule. Apply-order:</w:t>
      </w:r>
      <w:r>
        <w:t xml:space="preserve"> </w:t>
      </w:r>
      <w:r>
        <w:rPr>
          <w:rStyle w:val="VerbatimChar"/>
        </w:rPr>
        <w:t xml:space="preserve">constitution/</w:t>
      </w:r>
      <w:r>
        <w:t xml:space="preserve"> </w:t>
      </w:r>
      <w:r>
        <w:t xml:space="preserve">submodule →</w:t>
      </w:r>
      <w:r>
        <w:t xml:space="preserve"> </w:t>
      </w:r>
      <w:r>
        <w:rPr>
          <w:rStyle w:val="VerbatimChar"/>
        </w:rPr>
        <w:t xml:space="preserve">constitutable/</w:t>
      </w:r>
      <w:r>
        <w:t xml:space="preserve"> </w:t>
      </w:r>
      <w:r>
        <w:t xml:space="preserve">extensions → Herald's own docs. Do not delete the directory because it's empty.</w:t>
      </w:r>
    </w:p>
    <w:bookmarkEnd w:id="20"/>
    <w:bookmarkStart w:id="21" w:name="documentation-artefacts-pdfhtml-siblings"/>
    <w:p>
      <w:pPr>
        <w:pStyle w:val="Heading2"/>
      </w:pPr>
      <w:r>
        <w:t xml:space="preserve">Documentation artefacts (PDF/HTML siblings)</w:t>
      </w:r>
    </w:p>
    <w:p>
      <w:pPr>
        <w:pStyle w:val="FirstParagraph"/>
      </w:pPr>
      <w:r>
        <w:rPr>
          <w:rStyle w:val="VerbatimChar"/>
        </w:rPr>
        <w:t xml:space="preserve">docs/guides/HERALD_CONSTITUTION.md</w:t>
      </w:r>
      <w:r>
        <w:t xml:space="preserve"> </w:t>
      </w:r>
      <w:r>
        <w:t xml:space="preserve">and</w:t>
      </w:r>
      <w:r>
        <w:t xml:space="preserve"> </w:t>
      </w:r>
      <w:r>
        <w:rPr>
          <w:rStyle w:val="VerbatimChar"/>
        </w:rPr>
        <w:t xml:space="preserve">docs/guides/CONSTITUTION_INHERITANCE.md</w:t>
      </w:r>
      <w:r>
        <w:t xml:space="preserve"> </w:t>
      </w:r>
      <w:r>
        <w:t xml:space="preserve">each ship with a committed</w:t>
      </w:r>
      <w:r>
        <w:t xml:space="preserve"> </w:t>
      </w:r>
      <w:r>
        <w:rPr>
          <w:rStyle w:val="VerbatimChar"/>
        </w:rPr>
        <w:t xml:space="preserve">.pdf</w:t>
      </w:r>
      <w:r>
        <w:t xml:space="preserve"> </w:t>
      </w:r>
      <w:r>
        <w:t xml:space="preserve">sibling. When you edit one of these Markdown files, the PDF goes stale — flag it; do not regenerate silently unless the operator asks.</w:t>
      </w:r>
    </w:p>
    <w:p>
      <w:pPr>
        <w:pStyle w:val="BodyText"/>
      </w:pPr>
      <w:r>
        <w:t xml:space="preserve">The HRD-lifecycle docs in</w:t>
      </w:r>
      <w:r>
        <w:t xml:space="preserve"> </w:t>
      </w:r>
      <w:r>
        <w:rPr>
          <w:rStyle w:val="VerbatimChar"/>
        </w:rPr>
        <w:t xml:space="preserve">docs/</w:t>
      </w:r>
      <w:r>
        <w:t xml:space="preserve"> </w:t>
      </w:r>
      <w:r>
        <w:t xml:space="preserve">also ship as PDF/HTML/DOCX quadruples:</w:t>
      </w:r>
      <w:r>
        <w:t xml:space="preserve"> </w:t>
      </w:r>
      <w:r>
        <w:rPr>
          <w:rStyle w:val="VerbatimChar"/>
        </w:rPr>
        <w:t xml:space="preserve">Issues.md</w:t>
      </w:r>
      <w:r>
        <w:t xml:space="preserve"> </w:t>
      </w:r>
      <w:r>
        <w:t xml:space="preserve">(open HRDs per V3 §8.3),</w:t>
      </w:r>
      <w:r>
        <w:t xml:space="preserve"> </w:t>
      </w:r>
      <w:r>
        <w:rPr>
          <w:rStyle w:val="VerbatimChar"/>
        </w:rPr>
        <w:t xml:space="preserve">Fixed.md</w:t>
      </w:r>
      <w:r>
        <w:t xml:space="preserve"> </w:t>
      </w:r>
      <w:r>
        <w:t xml:space="preserve">(closed-HRD log per §11.4.19 atomic migration),</w:t>
      </w:r>
      <w:r>
        <w:t xml:space="preserve"> </w:t>
      </w:r>
      <w:r>
        <w:rPr>
          <w:rStyle w:val="VerbatimChar"/>
        </w:rPr>
        <w:t xml:space="preserve">Status.md</w:t>
      </w:r>
      <w:r>
        <w:t xml:space="preserve"> </w:t>
      </w:r>
      <w:r>
        <w:t xml:space="preserve">(status summary),</w:t>
      </w:r>
      <w:r>
        <w:t xml:space="preserve"> </w:t>
      </w:r>
      <w:r>
        <w:rPr>
          <w:rStyle w:val="VerbatimChar"/>
        </w:rPr>
        <w:t xml:space="preserve">CONTINUATION.md</w:t>
      </w:r>
      <w:r>
        <w:t xml:space="preserve"> </w:t>
      </w:r>
      <w:r>
        <w:t xml:space="preserve">(live-test handoff prompt for operator-supplied credentials). The</w:t>
      </w:r>
      <w:r>
        <w:t xml:space="preserve"> </w:t>
      </w:r>
      <w:r>
        <w:rPr>
          <w:rStyle w:val="VerbatimChar"/>
        </w:rPr>
        <w:t xml:space="preserve">*_Summary.md</w:t>
      </w:r>
      <w:r>
        <w:t xml:space="preserve"> </w:t>
      </w:r>
      <w:r>
        <w:t xml:space="preserve">variants are derived; do not hand-edit.</w:t>
      </w:r>
    </w:p>
    <w:p>
      <w:pPr>
        <w:pStyle w:val="BodyText"/>
      </w:pPr>
      <w:r>
        <w:rPr>
          <w:b/>
          <w:bCs/>
        </w:rPr>
        <w:t xml:space="preserve">Logo branding (added 2026-05-21).</w:t>
      </w:r>
      <w:r>
        <w:t xml:space="preserve"> </w:t>
      </w:r>
      <w:r>
        <w:t xml:space="preserve">Every tracked Markdown doc now leads with a centered Herald logo header (pandoc-friendly</w:t>
      </w:r>
      <w:r>
        <w:t xml:space="preserve"> </w:t>
      </w:r>
      <w:r>
        <w:rPr>
          <w:rStyle w:val="VerbatimChar"/>
        </w:rPr>
        <w:t xml:space="preserve">&lt;div align="center"&gt;</w:t>
      </w:r>
      <w:r>
        <w:t xml:space="preserve"> </w:t>
      </w:r>
      <w:r>
        <w:t xml:space="preserve">wrapping a</w:t>
      </w:r>
      <w:r>
        <w:t xml:space="preserve"> </w:t>
      </w:r>
      <w:r>
        <w:rPr>
          <w:rStyle w:val="VerbatimChar"/>
        </w:rPr>
        <w:t xml:space="preserve">&lt;img src="..." alt="Herald" width="96" height="96" /&gt;</w:t>
      </w:r>
      <w:r>
        <w:t xml:space="preserve"> </w:t>
      </w:r>
      <w:r>
        <w:t xml:space="preserve">image reference to</w:t>
      </w:r>
      <w:r>
        <w:t xml:space="preserve"> </w:t>
      </w:r>
      <w:r>
        <w:rPr>
          <w:rStyle w:val="VerbatimChar"/>
        </w:rPr>
        <w:t xml:space="preserve">assets/logo/herald_logo_square_128.png</w:t>
      </w:r>
      <w:r>
        <w:t xml:space="preserve">). The export pipeline propagates that logo into the HTML, PDF, and DOCX siblings:</w:t>
      </w:r>
    </w:p>
    <w:p>
      <w:pPr>
        <w:pStyle w:val="Compact"/>
        <w:numPr>
          <w:ilvl w:val="0"/>
          <w:numId w:val="1007"/>
        </w:numPr>
      </w:pPr>
      <w:r>
        <w:t xml:space="preserve">Logo source:</w:t>
      </w:r>
      <w:r>
        <w:t xml:space="preserve"> </w:t>
      </w:r>
      <w:r>
        <w:rPr>
          <w:rStyle w:val="VerbatimChar"/>
        </w:rPr>
        <w:t xml:space="preserve">assets/logo/herald_logo.png</w:t>
      </w:r>
      <w:r>
        <w:t xml:space="preserve"> </w:t>
      </w:r>
      <w:r>
        <w:t xml:space="preserve">(1664x928 RGB master). Square + transparent variants live under</w:t>
      </w:r>
      <w:r>
        <w:t xml:space="preserve"> </w:t>
      </w:r>
      <w:r>
        <w:rPr>
          <w:rStyle w:val="VerbatimChar"/>
        </w:rPr>
        <w:t xml:space="preserve">assets/logo/herald_logo_square_{32,64,128,256,512,1024}.png</w:t>
      </w:r>
      <w:r>
        <w:t xml:space="preserve"> </w:t>
      </w:r>
      <w:r>
        <w:t xml:space="preserve">(chroma-keyed white → alpha).</w:t>
      </w:r>
      <w:r>
        <w:t xml:space="preserve"> </w:t>
      </w:r>
      <w:r>
        <w:rPr>
          <w:rStyle w:val="VerbatimChar"/>
        </w:rPr>
        <w:t xml:space="preserve">assets/logo/herald_logo.svg</w:t>
      </w:r>
      <w:r>
        <w:t xml:space="preserve"> </w:t>
      </w:r>
      <w:r>
        <w:t xml:space="preserve">is a vector wrapper around the 512px PNG.</w:t>
      </w:r>
      <w:r>
        <w:t xml:space="preserve"> </w:t>
      </w:r>
      <w:r>
        <w:rPr>
          <w:rStyle w:val="VerbatimChar"/>
        </w:rPr>
        <w:t xml:space="preserve">assets/logo/print.css</w:t>
      </w:r>
      <w:r>
        <w:t xml:space="preserve"> </w:t>
      </w:r>
      <w:r>
        <w:t xml:space="preserve">carries print/screen styling for the HTML/PDF route.</w:t>
      </w:r>
    </w:p>
    <w:p>
      <w:pPr>
        <w:pStyle w:val="Compact"/>
        <w:numPr>
          <w:ilvl w:val="0"/>
          <w:numId w:val="1007"/>
        </w:numPr>
      </w:pPr>
      <w:r>
        <w:t xml:space="preserve">Injection: idempotent re-runnable via</w:t>
      </w:r>
      <w:r>
        <w:t xml:space="preserve"> </w:t>
      </w:r>
      <w:r>
        <w:rPr>
          <w:rStyle w:val="VerbatimChar"/>
        </w:rPr>
        <w:t xml:space="preserve">python3 scripts/branding_inject_logo.py &lt;md ...&gt;</w:t>
      </w:r>
      <w:r>
        <w:t xml:space="preserve"> </w:t>
      </w:r>
      <w:r>
        <w:t xml:space="preserve">— skips submodules/, containers/, constitutable/, docs/diary/, LICENSE; respects YAML front-matter; computes the relative path per doc depth.</w:t>
      </w:r>
    </w:p>
    <w:p>
      <w:pPr>
        <w:pStyle w:val="Compact"/>
        <w:numPr>
          <w:ilvl w:val="0"/>
          <w:numId w:val="1007"/>
        </w:numPr>
      </w:pPr>
      <w:r>
        <w:t xml:space="preserve">Export:</w:t>
      </w:r>
      <w:r>
        <w:t xml:space="preserve"> </w:t>
      </w:r>
      <w:r>
        <w:rPr>
          <w:rStyle w:val="VerbatimChar"/>
        </w:rPr>
        <w:t xml:space="preserve">bash scripts/export_docs.sh [&lt;md&gt;...]</w:t>
      </w:r>
      <w:r>
        <w:t xml:space="preserve"> </w:t>
      </w:r>
      <w:r>
        <w:t xml:space="preserve">regenerates HTML (pandoc), PDF (</w:t>
      </w:r>
      <w:r>
        <w:rPr>
          <w:rStyle w:val="VerbatimChar"/>
        </w:rPr>
        <w:t xml:space="preserve">--pdf-engine=weasyprint</w:t>
      </w:r>
      <w:r>
        <w:t xml:space="preserve">), DOCX (pandoc-native) for every</w:t>
      </w:r>
      <w:r>
        <w:t xml:space="preserve"> </w:t>
      </w:r>
      <w:r>
        <w:rPr>
          <w:rStyle w:val="VerbatimChar"/>
        </w:rPr>
        <w:t xml:space="preserve">.md</w:t>
      </w:r>
      <w:r>
        <w:t xml:space="preserve"> </w:t>
      </w:r>
      <w:r>
        <w:t xml:space="preserve">that already has at least one sibling artefact committed. Pass no args to regenerate everything.</w:t>
      </w:r>
    </w:p>
    <w:p>
      <w:pPr>
        <w:pStyle w:val="Compact"/>
        <w:numPr>
          <w:ilvl w:val="0"/>
          <w:numId w:val="1007"/>
        </w:numPr>
      </w:pPr>
      <w:r>
        <w:t xml:space="preserve">When you add a new</w:t>
      </w:r>
      <w:r>
        <w:t xml:space="preserve"> </w:t>
      </w:r>
      <w:r>
        <w:rPr>
          <w:rStyle w:val="VerbatimChar"/>
        </w:rPr>
        <w:t xml:space="preserve">.md</w:t>
      </w:r>
      <w:r>
        <w:t xml:space="preserve">, run the injector once; when you edit one whose sibling exports are tracked, run the exporter for that one file.</w:t>
      </w:r>
    </w:p>
    <w:bookmarkEnd w:id="21"/>
    <w:bookmarkStart w:id="22" w:name="notes-for-future-scaffolding"/>
    <w:p>
      <w:pPr>
        <w:pStyle w:val="Heading2"/>
      </w:pPr>
      <w:r>
        <w:t xml:space="preserve">Notes for future scaffolding</w:t>
      </w:r>
    </w:p>
    <w:p>
      <w:pPr>
        <w:pStyle w:val="Compact"/>
        <w:numPr>
          <w:ilvl w:val="0"/>
          <w:numId w:val="1008"/>
        </w:numPr>
      </w:pPr>
      <w:r>
        <w:rPr>
          <w:rStyle w:val="VerbatimChar"/>
        </w:rPr>
        <w:t xml:space="preserve">submodules/</w:t>
      </w:r>
      <w:r>
        <w:t xml:space="preserve"> </w:t>
      </w:r>
      <w:r>
        <w:t xml:space="preserve">holds 9 vendored Helix-stack modules (each its own</w:t>
      </w:r>
      <w:r>
        <w:t xml:space="preserve"> </w:t>
      </w:r>
      <w:r>
        <w:rPr>
          <w:rStyle w:val="VerbatimChar"/>
        </w:rPr>
        <w:t xml:space="preserve">git@github.com:vasic-digital/&lt;name&gt;.git</w:t>
      </w:r>
      <w:r>
        <w:t xml:space="preserve"> </w:t>
      </w:r>
      <w:r>
        <w:t xml:space="preserve">repo):</w:t>
      </w:r>
      <w:r>
        <w:t xml:space="preserve">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They are referenced via</w:t>
      </w:r>
      <w:r>
        <w:t xml:space="preserve"> </w:t>
      </w:r>
      <w:r>
        <w:rPr>
          <w:rStyle w:val="VerbatimChar"/>
        </w:rPr>
        <w:t xml:space="preserve">replace</w:t>
      </w:r>
      <w:r>
        <w:t xml:space="preserve"> </w:t>
      </w:r>
      <w:r>
        <w:t xml:space="preserve">directives in the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w:t>
      </w:r>
      <w:r>
        <w:t xml:space="preserve">(which lists the</w:t>
      </w:r>
      <w:r>
        <w:t xml:space="preserve"> </w:t>
      </w:r>
      <w:r>
        <w:rPr>
          <w:b/>
          <w:bCs/>
        </w:rPr>
        <w:t xml:space="preserve">14</w:t>
      </w:r>
      <w:r>
        <w:t xml:space="preserve"> </w:t>
      </w:r>
      <w:r>
        <w:t xml:space="preserve">Herald-owned modules — 7 foundation +</w:t>
      </w:r>
      <w:r>
        <w:t xml:space="preserve"> </w:t>
      </w:r>
      <w:r>
        <w:rPr>
          <w:rStyle w:val="VerbatimChar"/>
        </w:rPr>
        <w:t xml:space="preserve">commons_auth</w:t>
      </w:r>
      <w:r>
        <w:t xml:space="preserve"> </w:t>
      </w:r>
      <w:r>
        <w:t xml:space="preserve">+ 6 flavor binaries). Do not add the Helix-stack submodules to</w:t>
      </w:r>
      <w:r>
        <w:t xml:space="preserve"> </w:t>
      </w:r>
      <w:r>
        <w:rPr>
          <w:rStyle w:val="VerbatimChar"/>
        </w:rPr>
        <w:t xml:space="preserve">go.work</w:t>
      </w:r>
      <w:r>
        <w:t xml:space="preserve">.</w:t>
      </w:r>
    </w:p>
    <w:p>
      <w:pPr>
        <w:pStyle w:val="Compact"/>
        <w:numPr>
          <w:ilvl w:val="0"/>
          <w:numId w:val="1008"/>
        </w:numPr>
      </w:pPr>
      <w:r>
        <w:t xml:space="preserve">The repo is in</w:t>
      </w:r>
      <w:r>
        <w:t xml:space="preserve"> </w:t>
      </w:r>
      <w:r>
        <w:rPr>
          <w:rStyle w:val="VerbatimChar"/>
        </w:rPr>
        <w:t xml:space="preserve">main</w:t>
      </w:r>
      <w:r>
        <w:t xml:space="preserve"> </w:t>
      </w:r>
      <w:r>
        <w:t xml:space="preserve">branch and committed under "Milos Vasic" — no other contributors yet.</w:t>
      </w:r>
    </w:p>
    <w:p>
      <w:pPr>
        <w:pStyle w:val="Compact"/>
        <w:numPr>
          <w:ilvl w:val="0"/>
          <w:numId w:val="1008"/>
        </w:numPr>
      </w:pPr>
      <w:r>
        <w:rPr>
          <w:rStyle w:val="VerbatimChar"/>
        </w:rPr>
        <w:t xml:space="preserve">.claude/</w:t>
      </w:r>
      <w:r>
        <w:t xml:space="preserve"> </w:t>
      </w:r>
      <w:r>
        <w:t xml:space="preserve">exists but is empty; project-local Claude config can go there.</w:t>
      </w:r>
    </w:p>
    <w:p>
      <w:pPr>
        <w:pStyle w:val="Compact"/>
        <w:numPr>
          <w:ilvl w:val="0"/>
          <w:numId w:val="1008"/>
        </w:numPr>
      </w:pPr>
      <w:r>
        <w:rPr>
          <w:rStyle w:val="VerbatimChar"/>
        </w:rPr>
        <w:t xml:space="preserve">LICENSE</w:t>
      </w:r>
      <w:r>
        <w:t xml:space="preserve"> </w:t>
      </w:r>
      <w:r>
        <w:t xml:space="preserve">is present (do not overwrite without asking).</w:t>
      </w:r>
    </w:p>
    <w:p>
      <w:pPr>
        <w:pStyle w:val="Compact"/>
        <w:numPr>
          <w:ilvl w:val="0"/>
          <w:numId w:val="1008"/>
        </w:numPr>
      </w:pPr>
      <w:r>
        <w:rPr>
          <w:rStyle w:val="VerbatimChar"/>
        </w:rPr>
        <w:t xml:space="preserve">.DS_Store</w:t>
      </w:r>
      <w:r>
        <w:t xml:space="preserve"> </w:t>
      </w:r>
      <w:r>
        <w:t xml:space="preserve">is now git-ignored; do not re-add the previously-stray files.</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10"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2026-05-22T11:55:34Z</dcterms:created>
  <dcterms:modified xsi:type="dcterms:W3CDTF">2026-05-22T11:55:34Z</dcterms:modified>
</cp:coreProperties>
</file>

<file path=docProps/custom.xml><?xml version="1.0" encoding="utf-8"?>
<Properties xmlns="http://schemas.openxmlformats.org/officeDocument/2006/custom-properties" xmlns:vt="http://schemas.openxmlformats.org/officeDocument/2006/docPropsVTypes"/>
</file>