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r14 captures Wave 4b (TOON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application/toon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content negotiation; tag v0.3.0). No new HRDs migrated — substrate-level upgrade.</w:t>
            </w:r>
            <w:r>
              <w:t xml:space="preserve"> </w:t>
            </w: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upstream, real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inherits.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 M2 swap</w:t>
            </w:r>
            <w:r>
              <w:t xml:space="preserve"> </w:t>
            </w:r>
            <w:r>
              <w:rPr>
                <w:rStyle w:val="VerbatimChar"/>
              </w:rPr>
              <w:t xml:space="preserve">toon.Marshal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json.Marshal</w:t>
            </w:r>
            <w:r>
              <w:t xml:space="preserve"> </w:t>
            </w:r>
            <w:r>
              <w:t xml:space="preserve">(recurrence of the 2026-05-17 PASS-bluff) → E60 FAIL; M3 no-op transcodeRequestBody → pherald unit test FAIL; working-tree quiescence check (lesson from 72e81ab); post-flight green).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r13 captured Wave 4a (HTTP/3 + Brotli + Alt-Svc + TLS 1.3). r12 closed HRD-016 (Wave 3b pherald Runner live). r11 closed HRD-011 (Telegram live, message_id=5). r10 renumbered HRD-093 → HRD-099. r9: Wave 3a close-out (HRD-028 + HRD-098).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2026-05-22T11:55:21Z</dcterms:created>
  <dcterms:modified xsi:type="dcterms:W3CDTF">2026-05-22T11:55:21Z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