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2"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2026-05-29</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r16: propagated HelixConstitution §11.4.100 (Video color + visual-quality fidelity mandate, 2026-05-28) as a short-form restatement citing the literal anchor</w:t>
            </w:r>
            <w:r>
              <w:rPr>
                <w:b/>
                <w:bCs/>
              </w:rPr>
              <w:t xml:space="preserve"> </w:t>
            </w:r>
            <w:r>
              <w:rPr>
                <w:rStyle w:val="VerbatimChar"/>
                <w:b/>
                <w:bCs/>
              </w:rPr>
              <w:t xml:space="preserve">11.4.100</w:t>
            </w:r>
            <w:r>
              <w:rPr>
                <w:b/>
                <w:bCs/>
              </w:rPr>
              <w:t xml:space="preserve">, inherited per §11.4.35; restated + cited, not redefined. Herald-applicability classification: non-applicable-but-cite (Herald has NO video-playback surface —</w:t>
            </w:r>
            <w:r>
              <w:rPr>
                <w:b/>
                <w:bCs/>
              </w:rPr>
              <w:t xml:space="preserve"> </w:t>
            </w:r>
            <w:r>
              <w:rPr>
                <w:rStyle w:val="VerbatimChar"/>
                <w:b/>
                <w:bCs/>
              </w:rPr>
              <w:t xml:space="preserve">pherald listen</w:t>
            </w:r>
            <w:r>
              <w:rPr>
                <w:b/>
                <w:bCs/>
              </w:rPr>
              <w:t xml:space="preserve"> </w:t>
            </w:r>
            <w:r>
              <w:rPr>
                <w:b/>
                <w:bCs/>
              </w:rP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rPr>
                <w:b/>
                <w:bCs/>
              </w:rPr>
              <w:t xml:space="preserve"> </w:t>
            </w:r>
            <w:r>
              <w:rPr>
                <w:rStyle w:val="VerbatimChar"/>
                <w:b/>
                <w:bCs/>
              </w:rPr>
              <w:t xml:space="preserve">CM-COVENANT-114-100-PROPAGATION</w:t>
            </w:r>
            <w:r>
              <w:rPr>
                <w:b/>
                <w:bCs/>
              </w:rPr>
              <w:t xml:space="preserve"> </w:t>
            </w:r>
            <w:r>
              <w:rPr>
                <w:b/>
                <w:bCs/>
              </w:rP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rPr>
                <w:b/>
                <w:bCs/>
              </w:rPr>
              <w:t xml:space="preserve"> </w:t>
            </w:r>
            <w:r>
              <w:rPr>
                <w:rStyle w:val="VerbatimChar"/>
                <w:b/>
                <w:bCs/>
              </w:rPr>
              <w:t xml:space="preserve">11.4.95</w:t>
            </w:r>
            <w:r>
              <w:rPr>
                <w:b/>
                <w:bCs/>
              </w:rPr>
              <w:t xml:space="preserve">/</w:t>
            </w:r>
            <w:r>
              <w:rPr>
                <w:rStyle w:val="VerbatimChar"/>
                <w:b/>
                <w:bCs/>
              </w:rPr>
              <w:t xml:space="preserve">11.4.96</w:t>
            </w:r>
            <w:r>
              <w:rPr>
                <w:b/>
                <w:bCs/>
              </w:rPr>
              <w:t xml:space="preserve">/</w:t>
            </w:r>
            <w:r>
              <w:rPr>
                <w:rStyle w:val="VerbatimChar"/>
                <w:b/>
                <w:bCs/>
              </w:rPr>
              <w:t xml:space="preserve">11.4.97</w:t>
            </w:r>
            <w:r>
              <w:rPr>
                <w:b/>
                <w:bCs/>
              </w:rPr>
              <w:t xml:space="preserve">, inherited per §11.4.35; restated + cited, not redefined.</w:t>
            </w:r>
            <w:r>
              <w:t xml:space="preserve"> </w:t>
            </w:r>
            <w:r>
              <w:t xml:space="preserve">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16</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commons_tls</w:t>
      </w:r>
      <w:r>
        <w:t xml:space="preserve"> </w:t>
      </w:r>
      <w:r>
        <w:t xml:space="preserve">(Wave 4a auto-cert loader for the dual HTTP/3+TLS listener), and the 7 flavor binaries: the 6 Wave 2 flavors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2" w:name="X1e70fa44c26b8a178c44df7e7385a7a7ef8def1"/>
    <w:p>
      <w:pPr>
        <w:pStyle w:val="Heading2"/>
      </w:pPr>
      <w:r>
        <w:t xml:space="preserve">Inherited covenant restatements — Helix §11.4.85 / §11.4.87 / §11.4.88 / §11.4.89 / §11.4.90 / §11.4.91 / §11.4.92 / §11.4.93 / §11.4.94 / §11.4.95 / §11.4.96 / §11.4.97 / §11.4.98 / §11.4.99 / §11.4.100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End w:id="32"/>
    <w:bookmarkStart w:id="33"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3"/>
    <w:bookmarkStart w:id="34"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34"/>
    <w:bookmarkStart w:id="35"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7"/>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7"/>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7"/>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7"/>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35"/>
    <w:bookmarkStart w:id="36"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36"/>
    <w:bookmarkStart w:id="37"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37"/>
    <w:bookmarkStart w:id="38"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8"/>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8"/>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8"/>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8"/>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8"/>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8"/>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8"/>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8"/>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38"/>
    <w:bookmarkStart w:id="39"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39"/>
    <w:bookmarkStart w:id="40"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9"/>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9"/>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9"/>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9"/>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0"/>
    <w:bookmarkStart w:id="41" w:name="notes-for-future-scaffolding"/>
    <w:p>
      <w:pPr>
        <w:pStyle w:val="Heading2"/>
      </w:pPr>
      <w:r>
        <w:t xml:space="preserve">Notes for future scaffolding</w:t>
      </w:r>
    </w:p>
    <w:p>
      <w:pPr>
        <w:pStyle w:val="Compact"/>
        <w:numPr>
          <w:ilvl w:val="0"/>
          <w:numId w:val="1010"/>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10"/>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0"/>
        </w:numPr>
      </w:pPr>
      <w:r>
        <w:rPr>
          <w:rStyle w:val="VerbatimChar"/>
        </w:rPr>
        <w:t xml:space="preserve">.claude/</w:t>
      </w:r>
      <w:r>
        <w:t xml:space="preserve"> </w:t>
      </w:r>
      <w:r>
        <w:t xml:space="preserve">exists but is empty; project-local Claude config can go there.</w:t>
      </w:r>
    </w:p>
    <w:p>
      <w:pPr>
        <w:pStyle w:val="Compact"/>
        <w:numPr>
          <w:ilvl w:val="0"/>
          <w:numId w:val="1010"/>
        </w:numPr>
      </w:pPr>
      <w:r>
        <w:rPr>
          <w:rStyle w:val="VerbatimChar"/>
        </w:rPr>
        <w:t xml:space="preserve">LICENSE</w:t>
      </w:r>
      <w:r>
        <w:t xml:space="preserve"> </w:t>
      </w:r>
      <w:r>
        <w:t xml:space="preserve">is present (do not overwrite without asking).</w:t>
      </w:r>
    </w:p>
    <w:p>
      <w:pPr>
        <w:pStyle w:val="Compact"/>
        <w:numPr>
          <w:ilvl w:val="0"/>
          <w:numId w:val="1010"/>
        </w:numPr>
      </w:pPr>
      <w:r>
        <w:rPr>
          <w:rStyle w:val="VerbatimChar"/>
        </w:rPr>
        <w:t xml:space="preserve">.DS_Store</w:t>
      </w:r>
      <w:r>
        <w:t xml:space="preserve"> </w:t>
      </w:r>
      <w:r>
        <w:t xml:space="preserve">is now git-ignored; do not re-add the previously-stray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2026-05-28T18:28:16Z</dcterms:created>
  <dcterms:modified xsi:type="dcterms:W3CDTF">2026-05-28T18:28:16Z</dcterms:modified>
</cp:coreProperties>
</file>

<file path=docProps/custom.xml><?xml version="1.0" encoding="utf-8"?>
<Properties xmlns="http://schemas.openxmlformats.org/officeDocument/2006/custom-properties" xmlns:vt="http://schemas.openxmlformats.org/officeDocument/2006/docPropsVTypes"/>
</file>