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bookmarkStart w:id="19" w:name="herald--agentsmd"/>
    <w:p>
      <w:pPr>
        <w:pStyle w:val="Heading1"/>
      </w:pPr>
      <w:r>
        <w:t xml:space="preserve">Herald — AGENTS.md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6</w:t>
            </w:r>
          </w:p>
        </w:tc>
      </w:tr>
      <w:tr>
        <w:tc>
          <w:tcPr/>
          <w:p>
            <w:pPr>
              <w:pStyle w:val="Compact"/>
            </w:pPr>
            <w:r>
              <w:t xml:space="preserve">Created</w:t>
            </w:r>
          </w:p>
        </w:tc>
        <w:tc>
          <w:tcPr/>
          <w:p>
            <w:pPr>
              <w:pStyle w:val="Compact"/>
            </w:pPr>
            <w:r>
              <w:t xml:space="preserve">2026-05-15</w:t>
            </w:r>
          </w:p>
        </w:tc>
      </w:tr>
      <w:tr>
        <w:tc>
          <w:tcPr/>
          <w:p>
            <w:pPr>
              <w:pStyle w:val="Compact"/>
            </w:pPr>
            <w:r>
              <w:t xml:space="preserve">Last modified</w:t>
            </w:r>
          </w:p>
        </w:tc>
        <w:tc>
          <w:tcPr/>
          <w:p>
            <w:pPr>
              <w:pStyle w:val="Compact"/>
            </w:pPr>
            <w:r>
              <w:t xml:space="preserve">2026-05-20</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r5: added the End-user-usability covenant section restating the verbatim operator mandate at Herald agent-rule level; binds every CLI agent (Claude Code, Codex, Cursor, Gemini, Aider, subagents) to the §11.4 anti-bluff enforcement; ties to HERALD_CONSTITUTION.md §107 + inheritance-gate invariant I8b.</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R-14 (V2), V3-path-sync (V3 r3), Go-scaffold-status-update (V3 r4), §107 mandate restatement + I8b anchor (r5)</w:t>
            </w:r>
          </w:p>
        </w:tc>
      </w:tr>
      <w:tr>
        <w:tc>
          <w:tcPr/>
          <w:p>
            <w:pPr>
              <w:pStyle w:val="Compact"/>
            </w:pPr>
            <w:r>
              <w:t xml:space="preserve">Fixed summary</w:t>
            </w:r>
          </w:p>
        </w:tc>
        <w:tc>
          <w:tcPr/>
          <w:p>
            <w:pPr>
              <w:pStyle w:val="Compact"/>
            </w:pPr>
            <w:r>
              <w:t xml:space="preserve">aligned with HRD-009/HRD-009b/HRD-013/HRD-014 landing in the same commit; r5 closes the Herald-level explicit-restatement gap identified by the 2026-05-20 audit.</w:t>
            </w:r>
          </w:p>
        </w:tc>
      </w:tr>
      <w:tr>
        <w:tc>
          <w:tcPr/>
          <w:p>
            <w:pPr>
              <w:pStyle w:val="Compact"/>
            </w:pPr>
            <w:r>
              <w:t xml:space="preserve">Continuation</w:t>
            </w:r>
          </w:p>
        </w:tc>
        <w:tc>
          <w:tcPr/>
          <w:p>
            <w:pPr>
              <w:pStyle w:val="Compact"/>
            </w:pPr>
            <w:r>
              <w:t xml:space="preserve">bump again when first-implementation cycle completes HRD-010..HRD-012/HRD-016 live integrations.</w:t>
            </w:r>
          </w:p>
        </w:tc>
      </w:tr>
    </w:tbl>
    <w:bookmarkStart w:id="10" w:name="table-of-contents"/>
    <w:p>
      <w:pPr>
        <w:pStyle w:val="Heading2"/>
      </w:pPr>
      <w:r>
        <w:t xml:space="preserve">Table of contents</w:t>
      </w:r>
    </w:p>
    <w:p>
      <w:pPr>
        <w:pStyle w:val="Compact"/>
        <w:numPr>
          <w:ilvl w:val="0"/>
          <w:numId w:val="1001"/>
        </w:numPr>
      </w:pPr>
      <w:hyperlink w:anchor="X3414c43cc6d331314c20bd0a345b7e6e453dede">
        <w:r>
          <w:rPr>
            <w:rStyle w:val="Hyperlink"/>
          </w:rPr>
          <w:t xml:space="preserve">Critical base rules restated (for agents that don't follow @imports)</w:t>
        </w:r>
      </w:hyperlink>
    </w:p>
    <w:p>
      <w:pPr>
        <w:pStyle w:val="Compact"/>
        <w:numPr>
          <w:ilvl w:val="0"/>
          <w:numId w:val="1001"/>
        </w:numPr>
      </w:pPr>
      <w:hyperlink w:anchor="herald-specific-agent-rules">
        <w:r>
          <w:rPr>
            <w:rStyle w:val="Hyperlink"/>
          </w:rPr>
          <w:t xml:space="preserve">Herald-specific agent rules</w:t>
        </w:r>
      </w:hyperlink>
    </w:p>
    <w:p>
      <w:pPr>
        <w:pStyle w:val="Compact"/>
        <w:numPr>
          <w:ilvl w:val="1"/>
          <w:numId w:val="1002"/>
        </w:numPr>
      </w:pPr>
      <w:hyperlink w:anchor="X077989ae97727b76393218e4e18e3b89e5291bc">
        <w:r>
          <w:rPr>
            <w:rStyle w:val="Hyperlink"/>
          </w:rPr>
          <w:t xml:space="preserve">Project status (load-bearing for every task)</w:t>
        </w:r>
      </w:hyperlink>
    </w:p>
    <w:p>
      <w:pPr>
        <w:pStyle w:val="Compact"/>
        <w:numPr>
          <w:ilvl w:val="1"/>
          <w:numId w:val="1002"/>
        </w:numPr>
      </w:pPr>
      <w:hyperlink w:anchor="X113e14c17c8dcbc428318fbd14b02ebb01d29ca">
        <w:r>
          <w:rPr>
            <w:rStyle w:val="Hyperlink"/>
          </w:rPr>
          <w:t xml:space="preserve">End-user-usability covenant (Herald §107 / Helix §11.4 — MANDATORY ANTI-BLUFF)</w:t>
        </w:r>
      </w:hyperlink>
    </w:p>
    <w:p>
      <w:pPr>
        <w:pStyle w:val="Compact"/>
        <w:numPr>
          <w:ilvl w:val="1"/>
          <w:numId w:val="1002"/>
        </w:numPr>
      </w:pPr>
      <w:hyperlink w:anchor="X494e63fc2991a9d42fefb419b530ac9bef94c53">
        <w:r>
          <w:rPr>
            <w:rStyle w:val="Hyperlink"/>
          </w:rPr>
          <w:t xml:space="preserve">Inheritance gate (run before any commit that touches root docs or</w:t>
        </w:r>
        <w:r>
          <w:rPr>
            <w:rStyle w:val="Hyperlink"/>
          </w:rPr>
          <w:t xml:space="preserve"> </w:t>
        </w:r>
        <w:r>
          <w:rPr>
            <w:rStyle w:val="VerbatimChar"/>
          </w:rPr>
          <w:t xml:space="preserve">constitution/</w:t>
        </w:r>
        <w:r>
          <w:rPr>
            <w:rStyle w:val="Hyperlink"/>
          </w:rPr>
          <w:t xml:space="preserve">)</w:t>
        </w:r>
      </w:hyperlink>
    </w:p>
    <w:p>
      <w:pPr>
        <w:pStyle w:val="Compact"/>
        <w:numPr>
          <w:ilvl w:val="1"/>
          <w:numId w:val="1002"/>
        </w:numPr>
      </w:pPr>
      <w:hyperlink w:anchor="X0e80c95edc12dabb7455ed08d287a6e60ce05a5">
        <w:r>
          <w:rPr>
            <w:rStyle w:val="Hyperlink"/>
          </w:rPr>
          <w:t xml:space="preserve">Spec-change rule (load-bearing —</w:t>
        </w:r>
        <w:r>
          <w:rPr>
            <w:rStyle w:val="Hyperlink"/>
          </w:rPr>
          <w:t xml:space="preserve"> </w:t>
        </w:r>
        <w:r>
          <w:rPr>
            <w:rStyle w:val="VerbatimChar"/>
          </w:rPr>
          <w:t xml:space="preserve">docs/specs/mvp/specification.V3.md</w:t>
        </w:r>
        <w:r>
          <w:rPr>
            <w:rStyle w:val="Hyperlink"/>
          </w:rPr>
          <w:t xml:space="preserve"> </w:t>
        </w:r>
        <w:r>
          <w:rPr>
            <w:rStyle w:val="Hyperlink"/>
          </w:rPr>
          <w:t xml:space="preserve">§"Specification documents")</w:t>
        </w:r>
      </w:hyperlink>
    </w:p>
    <w:p>
      <w:pPr>
        <w:pStyle w:val="Compact"/>
        <w:numPr>
          <w:ilvl w:val="1"/>
          <w:numId w:val="1002"/>
        </w:numPr>
      </w:pPr>
      <w:hyperlink w:anchor="X6198677d4a246aad02e8f663e73cd694bf6928c">
        <w:r>
          <w:rPr>
            <w:rStyle w:val="Hyperlink"/>
          </w:rPr>
          <w:t xml:space="preserve">Multi-host mirror convention (Herald's own upstreams)</w:t>
        </w:r>
      </w:hyperlink>
    </w:p>
    <w:p>
      <w:pPr>
        <w:pStyle w:val="Compact"/>
        <w:numPr>
          <w:ilvl w:val="1"/>
          <w:numId w:val="1002"/>
        </w:numPr>
      </w:pPr>
      <w:hyperlink w:anchor="forbidden-in-this-project">
        <w:r>
          <w:rPr>
            <w:rStyle w:val="Hyperlink"/>
          </w:rPr>
          <w:t xml:space="preserve">Forbidden in this project</w:t>
        </w:r>
      </w:hyperlink>
    </w:p>
    <w:p>
      <w:pPr>
        <w:pStyle w:val="BlockText"/>
      </w:pPr>
      <w:r>
        <w:t xml:space="preserve">Base agent rules: the Helix Constitution's</w:t>
      </w:r>
      <w:r>
        <w:t xml:space="preserve"> </w:t>
      </w:r>
      <w:r>
        <w:rPr>
          <w:rStyle w:val="VerbatimChar"/>
        </w:rPr>
        <w:t xml:space="preserve">AGENTS.md</w:t>
      </w:r>
      <w:r>
        <w:t xml:space="preserve">, provided by the</w:t>
      </w:r>
      <w:r>
        <w:t xml:space="preserve"> </w:t>
      </w:r>
      <w:r>
        <w:rPr>
          <w:b/>
          <w:bCs/>
        </w:rPr>
        <w:t xml:space="preserve">parent project's</w:t>
      </w:r>
      <w:r>
        <w:t xml:space="preserve"> </w:t>
      </w:r>
      <w:r>
        <w:rPr>
          <w:rStyle w:val="VerbatimChar"/>
        </w:rPr>
        <w:t xml:space="preserve">constitution/</w:t>
      </w:r>
      <w:r>
        <w:t xml:space="preserve"> </w:t>
      </w:r>
      <w:r>
        <w:t xml:space="preserve">submodule (Herald does not carry its own copy).</w:t>
      </w:r>
      <w:r>
        <w:t xml:space="preserve"> </w:t>
      </w:r>
      <w:r>
        <w:rPr>
          <w:b/>
          <w:bCs/>
        </w:rPr>
        <w:t xml:space="preserve">READ IT FIRST.</w:t>
      </w:r>
    </w:p>
    <w:p>
      <w:pPr>
        <w:pStyle w:val="BlockText"/>
      </w:pPr>
      <w:r>
        <w:t xml:space="preserve">Discover the constitution by walking up parent directories until you find</w:t>
      </w:r>
      <w:r>
        <w:t xml:space="preserve"> </w:t>
      </w:r>
      <w:r>
        <w:rPr>
          <w:rStyle w:val="VerbatimChar"/>
        </w:rPr>
        <w:t xml:space="preserve">&lt;ancestor&gt;/constitution/Constitution.md</w:t>
      </w:r>
      <w:r>
        <w:t xml:space="preserve">, or by invoking the canonical helper</w:t>
      </w:r>
      <w:r>
        <w:t xml:space="preserve"> </w:t>
      </w:r>
      <w:r>
        <w:rPr>
          <w:rStyle w:val="VerbatimChar"/>
        </w:rPr>
        <w:t xml:space="preserve">&lt;discovered&gt;/find_constitution.sh</w:t>
      </w:r>
      <w:r>
        <w:t xml:space="preserve">. For standalone Herald work, clone the constitution alongside Herald:</w:t>
      </w:r>
    </w:p>
    <w:p>
      <w:pPr>
        <w:pStyle w:val="SourceCode"/>
      </w:pPr>
      <w:r>
        <w:rPr>
          <w:rStyle w:val="FunctionTok"/>
        </w:rPr>
        <w:t xml:space="preserve">git</w:t>
      </w:r>
      <w:r>
        <w:rPr>
          <w:rStyle w:val="NormalTok"/>
        </w:rPr>
        <w:t xml:space="preserve"> clone git@github.com:HelixDevelopment/HelixConstitution.git </w:t>
      </w:r>
      <w:r>
        <w:rPr>
          <w:rStyle w:val="DataTypeTok"/>
        </w:rPr>
        <w:t xml:space="preserve">\</w:t>
      </w:r>
      <w:r>
        <w:br/>
      </w:r>
      <w:r>
        <w:rPr>
          <w:rStyle w:val="NormalTok"/>
        </w:rPr>
        <w:t xml:space="preserve">    </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$PWD</w:t>
      </w:r>
      <w:r>
        <w:rPr>
          <w:rStyle w:val="StringTok"/>
        </w:rPr>
        <w:t xml:space="preserve">"</w:t>
      </w:r>
      <w:r>
        <w:rPr>
          <w:rStyle w:val="VariableTok"/>
        </w:rPr>
        <w:t xml:space="preserve">)</w:t>
      </w:r>
      <w:r>
        <w:rPr>
          <w:rStyle w:val="NormalTok"/>
        </w:rPr>
        <w:t xml:space="preserve">/constitution</w:t>
      </w:r>
    </w:p>
    <w:p>
      <w:pPr>
        <w:pStyle w:val="BlockText"/>
      </w:pPr>
      <w:r>
        <w:t xml:space="preserve">The base file is authoritative for any topic not covered here. Herald-specific rules below extend them; they never weaken them.</w:t>
      </w:r>
    </w:p>
    <w:p>
      <w:pPr>
        <w:pStyle w:val="BlockText"/>
      </w:pPr>
      <w:r>
        <w:t xml:space="preserve">Canonical:</w:t>
      </w:r>
      <w:r>
        <w:t xml:space="preserve"> </w:t>
      </w:r>
      <w:hyperlink r:id="rId9">
        <w:r>
          <w:rPr>
            <w:rStyle w:val="Hyperlink"/>
          </w:rPr>
          <w:t xml:space="preserve">https://github.com/HelixDevelopment/HelixConstitution</w:t>
        </w:r>
      </w:hyperlink>
    </w:p>
    <w:bookmarkEnd w:id="10"/>
    <w:bookmarkStart w:id="11" w:name="X3414c43cc6d331314c20bd0a345b7e6e453dede"/>
    <w:p>
      <w:pPr>
        <w:pStyle w:val="Heading2"/>
      </w:pPr>
      <w:r>
        <w:t xml:space="preserve">Critical base rules restated (for agents that don't follow @imports)</w:t>
      </w:r>
    </w:p>
    <w:p>
      <w:pPr>
        <w:pStyle w:val="Compact"/>
        <w:numPr>
          <w:ilvl w:val="0"/>
          <w:numId w:val="1003"/>
        </w:numPr>
      </w:pPr>
      <w:r>
        <w:rPr>
          <w:b/>
          <w:bCs/>
        </w:rPr>
        <w:t xml:space="preserve">No bluffing.</w:t>
      </w:r>
      <w:r>
        <w:t xml:space="preserve"> </w:t>
      </w:r>
      <w:r>
        <w:t xml:space="preserve">Every PASS carries positive evidence. Constitution §11.4 / §1.1.</w:t>
      </w:r>
    </w:p>
    <w:p>
      <w:pPr>
        <w:pStyle w:val="Compact"/>
        <w:numPr>
          <w:ilvl w:val="0"/>
          <w:numId w:val="1003"/>
        </w:numPr>
      </w:pPr>
      <w:r>
        <w:rPr>
          <w:b/>
          <w:bCs/>
        </w:rPr>
        <w:t xml:space="preserve">Mutation-paired gates.</w:t>
      </w:r>
      <w:r>
        <w:t xml:space="preserve"> </w:t>
      </w:r>
      <w:r>
        <w:t xml:space="preserve">Every new gate has a paired mutation proving it catches regressions. Constitution §1.1.</w:t>
      </w:r>
    </w:p>
    <w:p>
      <w:pPr>
        <w:pStyle w:val="Compact"/>
        <w:numPr>
          <w:ilvl w:val="0"/>
          <w:numId w:val="1003"/>
        </w:numPr>
      </w:pPr>
      <w:r>
        <w:rPr>
          <w:b/>
          <w:bCs/>
        </w:rPr>
        <w:t xml:space="preserve">No guessing language</w:t>
      </w:r>
      <w:r>
        <w:t xml:space="preserve"> </w:t>
      </w:r>
      <w:r>
        <w:t xml:space="preserve">(</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seems</w:t>
      </w:r>
      <w:r>
        <w:t xml:space="preserve">,</w:t>
      </w:r>
      <w:r>
        <w:t xml:space="preserve"> </w:t>
      </w:r>
      <w:r>
        <w:rPr>
          <w:rStyle w:val="VerbatimChar"/>
        </w:rPr>
        <w:t xml:space="preserve">appears</w:t>
      </w:r>
      <w:r>
        <w:t xml:space="preserve">) when reporting causes. Constitution §11.4.6.</w:t>
      </w:r>
    </w:p>
    <w:p>
      <w:pPr>
        <w:pStyle w:val="Compact"/>
        <w:numPr>
          <w:ilvl w:val="0"/>
          <w:numId w:val="1003"/>
        </w:numPr>
      </w:pPr>
      <w:r>
        <w:rPr>
          <w:b/>
          <w:bCs/>
        </w:rPr>
        <w:t xml:space="preserve">Credentials never tracked.</w:t>
      </w:r>
      <w:r>
        <w:t xml:space="preserve"> </w:t>
      </w:r>
      <w:r>
        <w:rPr>
          <w:rStyle w:val="VerbatimChar"/>
        </w:rPr>
        <w:t xml:space="preserve">.env</w:t>
      </w:r>
      <w:r>
        <w:t xml:space="preserve"> </w:t>
      </w:r>
      <w:r>
        <w:t xml:space="preserve">git-ignored; runtime-load only. Constitution §11.4.10.</w:t>
      </w:r>
      <w:r>
        <w:t xml:space="preserve"> </w:t>
      </w:r>
      <w:r>
        <w:rPr>
          <w:b/>
          <w:bCs/>
        </w:rPr>
        <w:t xml:space="preserve">Operator step-by-step guide for every supported messenger + dispatcher</w:t>
      </w:r>
      <w:r>
        <w:t xml:space="preserve">:</w:t>
      </w:r>
      <w:r>
        <w:t xml:space="preserve"> </w:t>
      </w:r>
      <w:r>
        <w:rPr>
          <w:rStyle w:val="VerbatimChar"/>
        </w:rPr>
        <w:t xml:space="preserve">docs/guides/OPERATOR_CREDENTIALS.md</w:t>
      </w:r>
      <w:r>
        <w:t xml:space="preserve"> </w:t>
      </w:r>
      <w:r>
        <w:t xml:space="preserve">(covers Postgres / Redis / Telegram HRD-011 / Claude Code HRD-012 + reserved env-var names for planned channels + audit checklist).</w:t>
      </w:r>
    </w:p>
    <w:p>
      <w:pPr>
        <w:pStyle w:val="Compact"/>
        <w:numPr>
          <w:ilvl w:val="0"/>
          <w:numId w:val="1003"/>
        </w:numPr>
      </w:pPr>
      <w:r>
        <w:rPr>
          <w:b/>
          <w:bCs/>
        </w:rPr>
        <w:t xml:space="preserve">Never force-push.</w:t>
      </w:r>
      <w:r>
        <w:t xml:space="preserve"> </w:t>
      </w:r>
      <w:r>
        <w:t xml:space="preserve">Requires explicit per-session authorization.</w:t>
      </w:r>
    </w:p>
    <w:p>
      <w:pPr>
        <w:pStyle w:val="Compact"/>
        <w:numPr>
          <w:ilvl w:val="0"/>
          <w:numId w:val="1003"/>
        </w:numPr>
      </w:pPr>
      <w:r>
        <w:rPr>
          <w:b/>
          <w:bCs/>
        </w:rPr>
        <w:t xml:space="preserve">Hardlinked backup before any destructive op.</w:t>
      </w:r>
      <w:r>
        <w:t xml:space="preserve"> </w:t>
      </w:r>
      <w:r>
        <w:t xml:space="preserve">Constitution §9.</w:t>
      </w:r>
    </w:p>
    <w:p>
      <w:pPr>
        <w:pStyle w:val="Compact"/>
        <w:numPr>
          <w:ilvl w:val="0"/>
          <w:numId w:val="1003"/>
        </w:numPr>
      </w:pPr>
      <w:r>
        <w:rPr>
          <w:b/>
          <w:bCs/>
        </w:rPr>
        <w:t xml:space="preserve">60% RAM cap on heavy work.</w:t>
      </w:r>
      <w:r>
        <w:t xml:space="preserve"> </w:t>
      </w:r>
      <w:r>
        <w:t xml:space="preserve">Constitution §12.6.</w:t>
      </w:r>
    </w:p>
    <w:p>
      <w:pPr>
        <w:pStyle w:val="Compact"/>
        <w:numPr>
          <w:ilvl w:val="0"/>
          <w:numId w:val="1003"/>
        </w:numPr>
      </w:pPr>
      <w:r>
        <w:rPr>
          <w:b/>
          <w:bCs/>
        </w:rPr>
        <w:t xml:space="preserve">Multi-upstream push.</w:t>
      </w:r>
      <w:r>
        <w:t xml:space="preserve"> </w:t>
      </w:r>
      <w:r>
        <w:t xml:space="preserve">Every commit fans out to all 4 hosts (GitHub + GitLab + GitFlic + GitVerse). Constitution §2.1.</w:t>
      </w:r>
    </w:p>
    <w:bookmarkEnd w:id="11"/>
    <w:bookmarkStart w:id="18" w:name="herald-specific-agent-rules"/>
    <w:p>
      <w:pPr>
        <w:pStyle w:val="Heading2"/>
      </w:pPr>
      <w:r>
        <w:t xml:space="preserve">Herald-specific agent rules</w:t>
      </w:r>
    </w:p>
    <w:bookmarkStart w:id="12" w:name="X077989ae97727b76393218e4e18e3b89e5291bc"/>
    <w:p>
      <w:pPr>
        <w:pStyle w:val="Heading3"/>
      </w:pPr>
      <w:r>
        <w:t xml:space="preserve">Project status (load-bearing for every task)</w:t>
      </w:r>
    </w:p>
    <w:p>
      <w:pPr>
        <w:pStyle w:val="FirstParagraph"/>
      </w:pPr>
      <w:r>
        <w:t xml:space="preserve">Herald is</w:t>
      </w:r>
      <w:r>
        <w:t xml:space="preserve"> </w:t>
      </w:r>
      <w:r>
        <w:rPr>
          <w:b/>
          <w:bCs/>
        </w:rPr>
        <w:t xml:space="preserve">pre-implementation</w:t>
      </w:r>
      <w:r>
        <w:t xml:space="preserve">. As of 2026-05-15 the repo contains:</w:t>
      </w:r>
    </w:p>
    <w:p>
      <w:pPr>
        <w:pStyle w:val="Compact"/>
        <w:numPr>
          <w:ilvl w:val="0"/>
          <w:numId w:val="1004"/>
        </w:numPr>
      </w:pPr>
      <w:r>
        <w:rPr>
          <w:rStyle w:val="VerbatimChar"/>
        </w:rPr>
        <w:t xml:space="preserve">README.md</w:t>
      </w:r>
      <w:r>
        <w:t xml:space="preserve"> </w:t>
      </w:r>
      <w:r>
        <w:t xml:space="preserve">— mission, deployment model, constitution-inheritance contract, how to run.</w:t>
      </w:r>
    </w:p>
    <w:p>
      <w:pPr>
        <w:pStyle w:val="Compact"/>
        <w:numPr>
          <w:ilvl w:val="0"/>
          <w:numId w:val="1004"/>
        </w:numPr>
      </w:pPr>
      <w:r>
        <w:rPr>
          <w:rStyle w:val="VerbatimChar"/>
        </w:rPr>
        <w:t xml:space="preserve">docs/specs/mvp/specification.V3.md</w:t>
      </w:r>
      <w:r>
        <w:t xml:space="preserve"> </w:t>
      </w:r>
      <w:r>
        <w:t xml:space="preserve">— MVP spec (section headings only; substantive content TBD).</w:t>
      </w:r>
    </w:p>
    <w:p>
      <w:pPr>
        <w:pStyle w:val="Compact"/>
        <w:numPr>
          <w:ilvl w:val="0"/>
          <w:numId w:val="1004"/>
        </w:numPr>
      </w:pPr>
      <w:r>
        <w:rPr>
          <w:rStyle w:val="VerbatimChar"/>
        </w:rPr>
        <w:t xml:space="preserve">docs/guides/HERALD_CONSTITUTION.md</w:t>
      </w:r>
      <w:r>
        <w:t xml:space="preserve"> </w:t>
      </w:r>
      <w:r>
        <w:t xml:space="preserve">— project-specific constitutional extensions.</w:t>
      </w:r>
    </w:p>
    <w:p>
      <w:pPr>
        <w:pStyle w:val="Compact"/>
        <w:numPr>
          <w:ilvl w:val="0"/>
          <w:numId w:val="1004"/>
        </w:numPr>
      </w:pPr>
      <w:r>
        <w:rPr>
          <w:rStyle w:val="VerbatimChar"/>
        </w:rPr>
        <w:t xml:space="preserve">docs/guides/CONSTITUTION_INHERITANCE.md</w:t>
      </w:r>
      <w:r>
        <w:t xml:space="preserve"> </w:t>
      </w:r>
      <w:r>
        <w:t xml:space="preserve">— operator/agent guide for the parent-discovery contract + the gate.</w:t>
      </w:r>
    </w:p>
    <w:p>
      <w:pPr>
        <w:pStyle w:val="Compact"/>
        <w:numPr>
          <w:ilvl w:val="0"/>
          <w:numId w:val="1004"/>
        </w:numPr>
      </w:pPr>
      <w:r>
        <w:rPr>
          <w:rStyle w:val="VerbatimChar"/>
        </w:rPr>
        <w:t xml:space="preserve">upstreams/</w:t>
      </w:r>
      <w:r>
        <w:t xml:space="preserve"> </w:t>
      </w:r>
      <w:r>
        <w:t xml:space="preserve">— Herald's own mirror declarations (lowercase, §11.4.29-compliant).</w:t>
      </w:r>
    </w:p>
    <w:p>
      <w:pPr>
        <w:pStyle w:val="Compact"/>
        <w:numPr>
          <w:ilvl w:val="0"/>
          <w:numId w:val="1004"/>
        </w:numPr>
      </w:pPr>
      <w:r>
        <w:rPr>
          <w:rStyle w:val="VerbatimChar"/>
        </w:rPr>
        <w:t xml:space="preserve">tests/test_constitution_inheritance.sh</w:t>
      </w:r>
      <w:r>
        <w:t xml:space="preserve"> </w:t>
      </w:r>
      <w:r>
        <w:t xml:space="preserve">— inheritance gate (read-only assertions).</w:t>
      </w:r>
    </w:p>
    <w:p>
      <w:pPr>
        <w:pStyle w:val="Compact"/>
        <w:numPr>
          <w:ilvl w:val="0"/>
          <w:numId w:val="1004"/>
        </w:numPr>
      </w:pPr>
      <w:r>
        <w:rPr>
          <w:rStyle w:val="VerbatimChar"/>
        </w:rPr>
        <w:t xml:space="preserve">tests/test_constitution_inheritance_meta.sh</w:t>
      </w:r>
      <w:r>
        <w:t xml:space="preserve"> </w:t>
      </w:r>
      <w:r>
        <w:t xml:space="preserve">— paired mutation meta-test (§1.1).</w:t>
      </w:r>
    </w:p>
    <w:p>
      <w:pPr>
        <w:pStyle w:val="Compact"/>
        <w:numPr>
          <w:ilvl w:val="0"/>
          <w:numId w:val="1004"/>
        </w:numPr>
      </w:pPr>
      <w:r>
        <w:rPr>
          <w:rStyle w:val="VerbatimChar"/>
        </w:rPr>
        <w:t xml:space="preserve">.gitignore</w:t>
      </w:r>
      <w:r>
        <w:t xml:space="preserve"> </w:t>
      </w:r>
      <w:r>
        <w:t xml:space="preserve">tuned for Go (also ignores</w:t>
      </w:r>
      <w:r>
        <w:t xml:space="preserve"> </w:t>
      </w:r>
      <w:r>
        <w:rPr>
          <w:rStyle w:val="VerbatimChar"/>
        </w:rPr>
        <w:t xml:space="preserve">.DS_Store</w:t>
      </w:r>
      <w:r>
        <w:t xml:space="preserve">).</w:t>
      </w:r>
    </w:p>
    <w:p>
      <w:pPr>
        <w:pStyle w:val="FirstParagraph"/>
      </w:pPr>
      <w:r>
        <w:t xml:space="preserve">Herald</w:t>
      </w:r>
      <w:r>
        <w:t xml:space="preserve"> </w:t>
      </w:r>
      <w:r>
        <w:rPr>
          <w:b/>
          <w:bCs/>
        </w:rPr>
        <w:t xml:space="preserve">does not</w:t>
      </w:r>
      <w:r>
        <w:t xml:space="preserve"> </w:t>
      </w:r>
      <w:r>
        <w:t xml:space="preserve">ship a</w:t>
      </w:r>
      <w:r>
        <w:t xml:space="preserve"> </w:t>
      </w:r>
      <w:r>
        <w:rPr>
          <w:rStyle w:val="VerbatimChar"/>
        </w:rPr>
        <w:t xml:space="preserve">constitution/</w:t>
      </w:r>
      <w:r>
        <w:t xml:space="preserve"> </w:t>
      </w:r>
      <w:r>
        <w:t xml:space="preserve">submodule of its own — see</w:t>
      </w:r>
      <w:r>
        <w:t xml:space="preserve"> </w:t>
      </w:r>
      <w:r>
        <w:rPr>
          <w:rStyle w:val="VerbatimChar"/>
        </w:rPr>
        <w:t xml:space="preserve">docs/guides/CONSTITUTION_INHERITANCE.md</w:t>
      </w:r>
      <w:r>
        <w:t xml:space="preserve"> </w:t>
      </w:r>
      <w:r>
        <w:t xml:space="preserve">for the rationale and the discovery mechanism.</w:t>
      </w:r>
    </w:p>
    <w:p>
      <w:pPr>
        <w:pStyle w:val="BodyText"/>
      </w:pPr>
      <w:r>
        <w:rPr>
          <w:b/>
          <w:bCs/>
        </w:rPr>
        <w:t xml:space="preserve">As of 2026-05-20</w:t>
      </w:r>
      <w:r>
        <w:t xml:space="preserve"> </w:t>
      </w:r>
      <w:r>
        <w:t xml:space="preserve">the Go scaffold landed (first-implementation cycle r1). 5 Go modules (</w:t>
      </w:r>
      <w:r>
        <w:rPr>
          <w:rStyle w:val="VerbatimChar"/>
        </w:rPr>
        <w:t xml:space="preserve">commons</w:t>
      </w:r>
      <w:r>
        <w:t xml:space="preserve">,</w:t>
      </w:r>
      <w:r>
        <w:t xml:space="preserve"> </w:t>
      </w:r>
      <w:r>
        <w:rPr>
          <w:rStyle w:val="VerbatimChar"/>
        </w:rPr>
        <w:t xml:space="preserve">commons_prefix</w:t>
      </w:r>
      <w:r>
        <w:t xml:space="preserve">,</w:t>
      </w:r>
      <w:r>
        <w:t xml:space="preserve"> </w:t>
      </w:r>
      <w:r>
        <w:rPr>
          <w:rStyle w:val="VerbatimChar"/>
        </w:rPr>
        <w:t xml:space="preserve">commons_messaging</w:t>
      </w:r>
      <w:r>
        <w:t xml:space="preserve">,</w:t>
      </w:r>
      <w:r>
        <w:t xml:space="preserve"> </w:t>
      </w:r>
      <w:r>
        <w:rPr>
          <w:rStyle w:val="VerbatimChar"/>
        </w:rPr>
        <w:t xml:space="preserve">commons_storage</w:t>
      </w:r>
      <w:r>
        <w:t xml:space="preserve">,</w:t>
      </w:r>
      <w:r>
        <w:t xml:space="preserve"> </w:t>
      </w:r>
      <w:r>
        <w:rPr>
          <w:rStyle w:val="VerbatimChar"/>
        </w:rPr>
        <w:t xml:space="preserve">pherald</w:t>
      </w:r>
      <w:r>
        <w:t xml:space="preserve">) compile + unit tests pass.</w:t>
      </w:r>
      <w:r>
        <w:t xml:space="preserve"> </w:t>
      </w:r>
      <w:r>
        <w:rPr>
          <w:rStyle w:val="VerbatimChar"/>
        </w:rPr>
        <w:t xml:space="preserve">pherald version --json</w:t>
      </w:r>
      <w:r>
        <w:t xml:space="preserve"> </w:t>
      </w:r>
      <w:r>
        <w:t xml:space="preserve">returns build info. The full §11.0 type contract is realized in</w:t>
      </w:r>
      <w:r>
        <w:t xml:space="preserve"> </w:t>
      </w:r>
      <w:r>
        <w:rPr>
          <w:rStyle w:val="VerbatimChar"/>
        </w:rPr>
        <w:t xml:space="preserve">commons/types.go</w:t>
      </w:r>
      <w:r>
        <w:t xml:space="preserve">. The</w:t>
      </w:r>
      <w:r>
        <w:t xml:space="preserve"> </w:t>
      </w:r>
      <w:r>
        <w:rPr>
          <w:rStyle w:val="VerbatimChar"/>
        </w:rPr>
        <w:t xml:space="preserve">null://</w:t>
      </w:r>
      <w:r>
        <w:t xml:space="preserve"> </w:t>
      </w:r>
      <w:r>
        <w:t xml:space="preserve">sandbox adapter is fully working with 8 unit tests. SQL migrations 000001..000005 embedded via</w:t>
      </w:r>
      <w:r>
        <w:t xml:space="preserve"> </w:t>
      </w:r>
      <w:r>
        <w:rPr>
          <w:rStyle w:val="VerbatimChar"/>
        </w:rPr>
        <w:t xml:space="preserve">//go:embed</w:t>
      </w:r>
      <w:r>
        <w:t xml:space="preserve">. Docker/Podman Compose for §26.5 Quickstart shipped under</w:t>
      </w:r>
      <w:r>
        <w:t xml:space="preserve"> </w:t>
      </w:r>
      <w:r>
        <w:rPr>
          <w:rStyle w:val="VerbatimChar"/>
        </w:rPr>
        <w:t xml:space="preserve">quickstart/</w:t>
      </w:r>
      <w:r>
        <w:t xml:space="preserve"> </w:t>
      </w:r>
      <w:r>
        <w:t xml:space="preserve">(migrated from</w:t>
      </w:r>
      <w:r>
        <w:t xml:space="preserve"> </w:t>
      </w:r>
      <w:r>
        <w:rPr>
          <w:rStyle w:val="VerbatimChar"/>
        </w:rPr>
        <w:t xml:space="preserve">containers/quickstart/</w:t>
      </w:r>
      <w:r>
        <w:t xml:space="preserve"> </w:t>
      </w:r>
      <w:r>
        <w:t xml:space="preserve">when the</w:t>
      </w:r>
      <w:r>
        <w:t xml:space="preserve"> </w:t>
      </w:r>
      <w:r>
        <w:rPr>
          <w:rStyle w:val="VerbatimChar"/>
        </w:rPr>
        <w:t xml:space="preserve">containers/</w:t>
      </w:r>
      <w:r>
        <w:t xml:space="preserve"> </w:t>
      </w:r>
      <w:r>
        <w:t xml:space="preserve">submodule landed). On-demand container orchestration is provided by the</w:t>
      </w:r>
      <w:r>
        <w:t xml:space="preserve"> </w:t>
      </w:r>
      <w:r>
        <w:rPr>
          <w:rStyle w:val="VerbatimChar"/>
        </w:rPr>
        <w:t xml:space="preserve">containers/</w:t>
      </w:r>
      <w:r>
        <w:t xml:space="preserve"> </w:t>
      </w:r>
      <w:r>
        <w:t xml:space="preserve">submodule (</w:t>
      </w:r>
      <w:r>
        <w:rPr>
          <w:rStyle w:val="VerbatimChar"/>
        </w:rPr>
        <w:t xml:space="preserve">digital.vasic.containers</w:t>
      </w:r>
      <w:r>
        <w:t xml:space="preserve">).</w:t>
      </w:r>
    </w:p>
    <w:p>
      <w:pPr>
        <w:pStyle w:val="BodyText"/>
      </w:pPr>
      <w:r>
        <w:t xml:space="preserve">Build + test from repo root:</w:t>
      </w:r>
    </w:p>
    <w:p>
      <w:pPr>
        <w:pStyle w:val="SourceCode"/>
      </w:pPr>
      <w:r>
        <w:rPr>
          <w:rStyle w:val="VerbatimChar"/>
        </w:rPr>
        <w:t xml:space="preserve">go test ./commons/... ./commons_prefix/... ./commons_messaging/... ./commons_storage/...</w:t>
      </w:r>
      <w:r>
        <w:br/>
      </w:r>
      <w:r>
        <w:rPr>
          <w:rStyle w:val="VerbatimChar"/>
        </w:rPr>
        <w:t xml:space="preserve">go build -o /tmp/pherald-dev ./pherald/cmd/pherald</w:t>
      </w:r>
    </w:p>
    <w:p>
      <w:pPr>
        <w:pStyle w:val="FirstParagraph"/>
      </w:pPr>
      <w:r>
        <w:t xml:space="preserve">What's NOT yet live (per</w:t>
      </w:r>
      <w:r>
        <w:t xml:space="preserve"> </w:t>
      </w:r>
      <w:r>
        <w:rPr>
          <w:rStyle w:val="VerbatimChar"/>
        </w:rPr>
        <w:t xml:space="preserve">docs/Issues.md</w:t>
      </w:r>
      <w:r>
        <w:t xml:space="preserve">):</w:t>
      </w:r>
    </w:p>
    <w:p>
      <w:pPr>
        <w:pStyle w:val="Compact"/>
        <w:numPr>
          <w:ilvl w:val="0"/>
          <w:numId w:val="1005"/>
        </w:numPr>
      </w:pPr>
      <w:r>
        <w:t xml:space="preserve">HRD-008 operator-side Quickstart compose validation.</w:t>
      </w:r>
    </w:p>
    <w:p>
      <w:pPr>
        <w:pStyle w:val="Compact"/>
        <w:numPr>
          <w:ilvl w:val="0"/>
          <w:numId w:val="1005"/>
        </w:numPr>
      </w:pPr>
      <w:r>
        <w:t xml:space="preserve">HRD-010 commons_storage live (pgx + River + Redis).</w:t>
      </w:r>
    </w:p>
    <w:p>
      <w:pPr>
        <w:pStyle w:val="Compact"/>
        <w:numPr>
          <w:ilvl w:val="0"/>
          <w:numId w:val="1005"/>
        </w:numPr>
      </w:pPr>
      <w:r>
        <w:t xml:space="preserve">HRD-011 Telegram adapter live (telebot + getUpdates).</w:t>
      </w:r>
    </w:p>
    <w:p>
      <w:pPr>
        <w:pStyle w:val="Compact"/>
        <w:numPr>
          <w:ilvl w:val="0"/>
          <w:numId w:val="1005"/>
        </w:numPr>
      </w:pPr>
      <w:r>
        <w:t xml:space="preserve">HRD-012 Claude Code dispatcher live (</w:t>
      </w:r>
      <w:r>
        <w:rPr>
          <w:rStyle w:val="VerbatimChar"/>
        </w:rPr>
        <w:t xml:space="preserve">claude --resume</w:t>
      </w:r>
      <w:r>
        <w:t xml:space="preserve">).</w:t>
      </w:r>
    </w:p>
    <w:p>
      <w:pPr>
        <w:pStyle w:val="Compact"/>
        <w:numPr>
          <w:ilvl w:val="0"/>
          <w:numId w:val="1005"/>
        </w:numPr>
      </w:pPr>
      <w:r>
        <w:t xml:space="preserve">HRD-016 REST API per §41 (Gin Gonic).</w:t>
      </w:r>
    </w:p>
    <w:p>
      <w:pPr>
        <w:pStyle w:val="FirstParagraph"/>
      </w:pPr>
      <w:r>
        <w:t xml:space="preserve">When asked to "add a feature": find the spec section, open / claim the relevant HRD-NNN in</w:t>
      </w:r>
      <w:r>
        <w:t xml:space="preserve"> </w:t>
      </w:r>
      <w:r>
        <w:rPr>
          <w:rStyle w:val="VerbatimChar"/>
        </w:rPr>
        <w:t xml:space="preserve">docs/Issues.md</w:t>
      </w:r>
      <w:r>
        <w:t xml:space="preserve">, write Go + tests, ensure</w:t>
      </w:r>
      <w:r>
        <w:t xml:space="preserve"> </w:t>
      </w:r>
      <w:r>
        <w:rPr>
          <w:rStyle w:val="VerbatimChar"/>
        </w:rPr>
        <w:t xml:space="preserve">go test</w:t>
      </w:r>
      <w:r>
        <w:t xml:space="preserve"> </w:t>
      </w:r>
      <w:r>
        <w:t xml:space="preserve">passes, close the HRD-NNN by migrating its row to</w:t>
      </w:r>
      <w:r>
        <w:t xml:space="preserve"> </w:t>
      </w:r>
      <w:r>
        <w:rPr>
          <w:rStyle w:val="VerbatimChar"/>
        </w:rPr>
        <w:t xml:space="preserve">docs/Fixed.md</w:t>
      </w:r>
      <w:r>
        <w:t xml:space="preserve"> </w:t>
      </w:r>
      <w:r>
        <w:t xml:space="preserve">(per Universal §11.4.19 atomic-migration mandate).</w:t>
      </w:r>
    </w:p>
    <w:p>
      <w:pPr>
        <w:pStyle w:val="BodyText"/>
      </w:pPr>
      <w:r>
        <w:t xml:space="preserve">Never invent build / test commands beyond</w:t>
      </w:r>
      <w:r>
        <w:t xml:space="preserve"> </w:t>
      </w:r>
      <w:r>
        <w:rPr>
          <w:rStyle w:val="VerbatimChar"/>
        </w:rPr>
        <w:t xml:space="preserve">go test ./&lt;module&gt;/...</w:t>
      </w:r>
      <w:r>
        <w:t xml:space="preserve">. Live-integration tests require operator-supplied bot tokens / Claude sessions / Postgres —</w:t>
      </w:r>
      <w:r>
        <w:t xml:space="preserve"> </w:t>
      </w:r>
      <w:r>
        <w:rPr>
          <w:rStyle w:val="VerbatimChar"/>
        </w:rPr>
        <w:t xml:space="preserve">docs/CONTINUATION.md</w:t>
      </w:r>
      <w:r>
        <w:t xml:space="preserve"> </w:t>
      </w:r>
      <w:r>
        <w:t xml:space="preserve">carries the handoff prompt.</w:t>
      </w:r>
    </w:p>
    <w:bookmarkEnd w:id="12"/>
    <w:bookmarkStart w:id="13" w:name="X113e14c17c8dcbc428318fbd14b02ebb01d29ca"/>
    <w:p>
      <w:pPr>
        <w:pStyle w:val="Heading3"/>
      </w:pPr>
      <w:r>
        <w:t xml:space="preserve">End-user-usability covenant (Herald §107 / Helix §11.4 — MANDATORY ANTI-BLUFF)</w:t>
      </w:r>
    </w:p>
    <w:p>
      <w:pPr>
        <w:pStyle w:val="FirstParagraph"/>
      </w:pPr>
      <w:r>
        <w:rPr>
          <w:b/>
          <w:bCs/>
        </w:rPr>
        <w:t xml:space="preserve">Forensic anchor — verbatim operator mandate:</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 (if not there already)!"</w:t>
      </w:r>
    </w:p>
    <w:p>
      <w:pPr>
        <w:pStyle w:val="FirstParagraph"/>
      </w:pPr>
      <w:r>
        <w:rPr>
          <w:b/>
          <w:bCs/>
        </w:rPr>
        <w:t xml:space="preserve">Agent-binding rule.</w:t>
      </w:r>
      <w:r>
        <w:t xml:space="preserve"> </w:t>
      </w:r>
      <w:r>
        <w:t xml:space="preserve">No agent — Claude Code, Codex, Cursor, Gemini, Aider, any CLI subagent — may declare a Herald feature "done", "landed", "shipped", or "tests pass" without</w:t>
      </w:r>
      <w:r>
        <w:t xml:space="preserve"> </w:t>
      </w:r>
      <w:r>
        <w:rPr>
          <w:b/>
          <w:bCs/>
        </w:rPr>
        <w:t xml:space="preserve">positive runtime evidence captured during execution</w:t>
      </w:r>
      <w:r>
        <w:t xml:space="preserve"> </w:t>
      </w:r>
      <w:r>
        <w:t xml:space="preserve">that an end user of the relevant</w:t>
      </w:r>
      <w:r>
        <w:t xml:space="preserve"> </w:t>
      </w:r>
      <w:r>
        <w:rPr>
          <w:rStyle w:val="VerbatimChar"/>
        </w:rPr>
        <w:t xml:space="preserve">&lt;flavor&gt;herald</w:t>
      </w:r>
      <w:r>
        <w:t xml:space="preserve"> </w:t>
      </w:r>
      <w:r>
        <w:t xml:space="preserve">binary can actually use the feature.</w:t>
      </w:r>
    </w:p>
    <w:p>
      <w:pPr>
        <w:pStyle w:val="Compact"/>
        <w:numPr>
          <w:ilvl w:val="0"/>
          <w:numId w:val="1006"/>
        </w:numPr>
      </w:pPr>
      <w:r>
        <w:t xml:space="preserve">Unit-test green is necessary but</w:t>
      </w:r>
      <w:r>
        <w:t xml:space="preserve"> </w:t>
      </w:r>
      <w:r>
        <w:rPr>
          <w:b/>
          <w:bCs/>
        </w:rPr>
        <w:t xml:space="preserve">not sufficient</w:t>
      </w:r>
      <w:r>
        <w:t xml:space="preserve">.</w:t>
      </w:r>
    </w:p>
    <w:p>
      <w:pPr>
        <w:pStyle w:val="Compact"/>
        <w:numPr>
          <w:ilvl w:val="0"/>
          <w:numId w:val="1006"/>
        </w:numPr>
      </w:pPr>
      <w:r>
        <w:t xml:space="preserve">Integration-test green is necessary but</w:t>
      </w:r>
      <w:r>
        <w:t xml:space="preserve"> </w:t>
      </w:r>
      <w:r>
        <w:rPr>
          <w:b/>
          <w:bCs/>
        </w:rPr>
        <w:t xml:space="preserve">not sufficient</w:t>
      </w:r>
      <w:r>
        <w:t xml:space="preserve">.</w:t>
      </w:r>
    </w:p>
    <w:p>
      <w:pPr>
        <w:pStyle w:val="Compact"/>
        <w:numPr>
          <w:ilvl w:val="0"/>
          <w:numId w:val="1006"/>
        </w:numPr>
      </w:pPr>
      <w:r>
        <w:t xml:space="preserve">Compile success is necessary but</w:t>
      </w:r>
      <w:r>
        <w:t xml:space="preserve"> </w:t>
      </w:r>
      <w:r>
        <w:rPr>
          <w:b/>
          <w:bCs/>
        </w:rPr>
        <w:t xml:space="preserve">not sufficient</w:t>
      </w:r>
      <w:r>
        <w:t xml:space="preserve">.</w:t>
      </w:r>
    </w:p>
    <w:p>
      <w:pPr>
        <w:pStyle w:val="Compact"/>
        <w:numPr>
          <w:ilvl w:val="0"/>
          <w:numId w:val="1006"/>
        </w:numPr>
      </w:pPr>
      <w:r>
        <w:t xml:space="preserve">A</w:t>
      </w:r>
      <w:r>
        <w:t xml:space="preserve"> </w:t>
      </w:r>
      <w:r>
        <w:rPr>
          <w:rStyle w:val="VerbatimChar"/>
        </w:rPr>
        <w:t xml:space="preserve">PASS</w:t>
      </w:r>
      <w:r>
        <w:t xml:space="preserve"> </w:t>
      </w:r>
      <w:r>
        <w:t xml:space="preserve">line in a Challenge runner is a §11.4 PASS-bluff if it doesn't cross-check against runtime evidence (HTTP response body, DB row, log line, captured screenshot/audio, etc.).</w:t>
      </w:r>
    </w:p>
    <w:p>
      <w:pPr>
        <w:pStyle w:val="FirstParagraph"/>
      </w:pPr>
      <w:r>
        <w:t xml:space="preserve">Canonical Herald enforcement:</w:t>
      </w:r>
      <w:r>
        <w:t xml:space="preserve"> </w:t>
      </w:r>
      <w:r>
        <w:rPr>
          <w:rStyle w:val="VerbatimChar"/>
        </w:rPr>
        <w:t xml:space="preserve">scripts/e2e_bluff_hunt.sh</w:t>
      </w:r>
      <w:r>
        <w:t xml:space="preserve"> </w:t>
      </w:r>
      <w:r>
        <w:t xml:space="preserve">— boots real services (Gin server + Postgres container via the</w:t>
      </w:r>
      <w:r>
        <w:t xml:space="preserve"> </w:t>
      </w:r>
      <w:r>
        <w:rPr>
          <w:rStyle w:val="VerbatimChar"/>
        </w:rPr>
        <w:t xml:space="preserve">containers/</w:t>
      </w:r>
      <w:r>
        <w:t xml:space="preserve"> </w:t>
      </w:r>
      <w:r>
        <w:t xml:space="preserve">submodule), hits real</w:t>
      </w:r>
      <w:r>
        <w:t xml:space="preserve"> </w:t>
      </w:r>
      <w:r>
        <w:rPr>
          <w:rStyle w:val="VerbatimChar"/>
        </w:rPr>
        <w:t xml:space="preserve">/v1/*</w:t>
      </w:r>
      <w:r>
        <w:t xml:space="preserve"> </w:t>
      </w:r>
      <w:r>
        <w:t xml:space="preserve">endpoints, asserts response bodies, runs M2 RLS-tenant-isolation integration tests, and SIGTERM-graceful-shutdowns. ALL 14 invariants MUST PASS before any release-tag, risky commit, or "milestone landed" claim. Canonical Helix authority:</w:t>
      </w:r>
      <w:r>
        <w:t xml:space="preserve"> </w:t>
      </w:r>
      <w:r>
        <w:rPr>
          <w:rStyle w:val="VerbatimChar"/>
        </w:rPr>
        <w:t xml:space="preserve">&lt;discovered&gt;/Constitution.md</w:t>
      </w:r>
      <w:r>
        <w:t xml:space="preserve"> </w:t>
      </w:r>
      <w:r>
        <w:t xml:space="preserve">§11.4 + §11.4.1..§11.4.16. Canonical Herald authority:</w:t>
      </w:r>
      <w:r>
        <w:t xml:space="preserve"> </w:t>
      </w:r>
      <w:r>
        <w:rPr>
          <w:rStyle w:val="VerbatimChar"/>
        </w:rPr>
        <w:t xml:space="preserve">docs/guides/HERALD_CONSTITUTION.md</w:t>
      </w:r>
      <w:r>
        <w:t xml:space="preserve"> </w:t>
      </w:r>
      <w:r>
        <w:t xml:space="preserve">§107. Inheritance-gate invariant</w:t>
      </w:r>
      <w:r>
        <w:t xml:space="preserve"> </w:t>
      </w:r>
      <w:r>
        <w:rPr>
          <w:b/>
          <w:bCs/>
        </w:rPr>
        <w:t xml:space="preserve">I8b</w:t>
      </w:r>
      <w:r>
        <w:t xml:space="preserve"> </w:t>
      </w:r>
      <w:r>
        <w:t xml:space="preserve">asserts the verbatim covenant anchor is present in this file.</w:t>
      </w:r>
    </w:p>
    <w:p>
      <w:pPr>
        <w:pStyle w:val="BodyText"/>
      </w:pPr>
      <w:r>
        <w:t xml:space="preserve">Tests AND Challenges are bound equally: a Challenge that scores PASS on a broken-for-end-user feature is the same defect class as a unit test that does. Both are release blockers.</w:t>
      </w:r>
    </w:p>
    <w:bookmarkEnd w:id="13"/>
    <w:bookmarkStart w:id="14" w:name="X494e63fc2991a9d42fefb419b530ac9bef94c53"/>
    <w:p>
      <w:pPr>
        <w:pStyle w:val="Heading3"/>
      </w:pPr>
      <w:r>
        <w:t xml:space="preserve">Inheritance gate (run before any commit that touches root docs or</w:t>
      </w:r>
      <w:r>
        <w:t xml:space="preserve"> </w:t>
      </w:r>
      <w:r>
        <w:rPr>
          <w:rStyle w:val="VerbatimChar"/>
        </w:rPr>
        <w:t xml:space="preserve">constitution/</w:t>
      </w:r>
      <w:r>
        <w:t xml:space="preserve">)</w:t>
      </w:r>
    </w:p>
    <w:p>
      <w:pPr>
        <w:pStyle w:val="SourceCode"/>
      </w:pPr>
      <w:r>
        <w:rPr>
          <w:rStyle w:val="FunctionTok"/>
        </w:rPr>
        <w:t xml:space="preserve">bash</w:t>
      </w:r>
      <w:r>
        <w:rPr>
          <w:rStyle w:val="NormalTok"/>
        </w:rPr>
        <w:t xml:space="preserve"> tests/test_constitution_inheritance.sh        </w:t>
      </w:r>
      <w:r>
        <w:rPr>
          <w:rStyle w:val="CommentTok"/>
        </w:rPr>
        <w:t xml:space="preserve"># the gate</w:t>
      </w:r>
      <w:r>
        <w:br/>
      </w:r>
      <w:r>
        <w:rPr>
          <w:rStyle w:val="FunctionTok"/>
        </w:rPr>
        <w:t xml:space="preserve">bash</w:t>
      </w:r>
      <w:r>
        <w:rPr>
          <w:rStyle w:val="NormalTok"/>
        </w:rPr>
        <w:t xml:space="preserve"> tests/test_constitution_inheritance_meta.sh   </w:t>
      </w:r>
      <w:r>
        <w:rPr>
          <w:rStyle w:val="CommentTok"/>
        </w:rPr>
        <w:t xml:space="preserve"># paired mutation proof (§1.1)</w:t>
      </w:r>
    </w:p>
    <w:p>
      <w:pPr>
        <w:pStyle w:val="FirstParagraph"/>
      </w:pPr>
      <w:r>
        <w:t xml:space="preserve">Both MUST return 0. If either fails, fix at root cause per Constitution §11.4.4 — never silently accept the FAIL.</w:t>
      </w:r>
    </w:p>
    <w:bookmarkEnd w:id="14"/>
    <w:bookmarkStart w:id="15" w:name="X32120c2cbf4d615e5864fa1300f097d3beccf79"/>
    <w:p>
      <w:pPr>
        <w:pStyle w:val="Heading3"/>
      </w:pPr>
      <w:r>
        <w:t xml:space="preserve">Spec-change rule (load-bearing —</w:t>
      </w:r>
      <w:r>
        <w:t xml:space="preserve"> </w:t>
      </w:r>
      <w:r>
        <w:rPr>
          <w:rStyle w:val="VerbatimChar"/>
        </w:rPr>
        <w:t xml:space="preserve">docs/specs/mvp/specification.V3.md</w:t>
      </w:r>
      <w:r>
        <w:t xml:space="preserve"> </w:t>
      </w:r>
      <w:r>
        <w:t xml:space="preserve">§"Specification documents")</w:t>
      </w:r>
    </w:p>
    <w:p>
      <w:pPr>
        <w:pStyle w:val="FirstParagraph"/>
      </w:pPr>
      <w:r>
        <w:t xml:space="preserve">Whenever</w:t>
      </w:r>
      <w:r>
        <w:t xml:space="preserve"> </w:t>
      </w:r>
      <w:r>
        <w:rPr>
          <w:rStyle w:val="VerbatimChar"/>
        </w:rPr>
        <w:t xml:space="preserve">docs/specs/mvp/specification.V3.md</w:t>
      </w:r>
      <w:r>
        <w:t xml:space="preserve"> </w:t>
      </w:r>
      <w:r>
        <w:t xml:space="preserve">or any file under</w:t>
      </w:r>
      <w:r>
        <w:t xml:space="preserve"> </w:t>
      </w:r>
      <w:r>
        <w:rPr>
          <w:rStyle w:val="VerbatimChar"/>
        </w:rPr>
        <w:t xml:space="preserve">docs/specs/</w:t>
      </w:r>
      <w:r>
        <w:t xml:space="preserve"> </w:t>
      </w:r>
      <w:r>
        <w:t xml:space="preserve">(any depth) is modified,</w:t>
      </w:r>
      <w:r>
        <w:t xml:space="preserve"> </w:t>
      </w:r>
      <w:r>
        <w:rPr>
          <w:b/>
          <w:bCs/>
        </w:rPr>
        <w:t xml:space="preserve">comprehensive planning and implementation of all changes is MANDATORY</w:t>
      </w:r>
      <w:r>
        <w:t xml:space="preserve"> </w:t>
      </w:r>
      <w:r>
        <w:t xml:space="preserve">— agents may not edit the spec in isolation. This rule does NOT apply to creating or renaming files; for those, ask the operator what to do with the new path. Treat every spec edit as a project-wide ripple, not a doc tweak.</w:t>
      </w:r>
    </w:p>
    <w:p>
      <w:pPr>
        <w:pStyle w:val="BodyText"/>
      </w:pPr>
      <w:r>
        <w:t xml:space="preserve">This rule is mirrored in</w:t>
      </w:r>
      <w:r>
        <w:t xml:space="preserve"> </w:t>
      </w:r>
      <w:r>
        <w:rPr>
          <w:rStyle w:val="VerbatimChar"/>
        </w:rPr>
        <w:t xml:space="preserve">CLAUDE.md</w:t>
      </w:r>
      <w:r>
        <w:t xml:space="preserve"> </w:t>
      </w:r>
      <w:r>
        <w:t xml:space="preserve">and in</w:t>
      </w:r>
      <w:r>
        <w:t xml:space="preserve"> </w:t>
      </w:r>
      <w:r>
        <w:rPr>
          <w:rStyle w:val="VerbatimChar"/>
        </w:rPr>
        <w:t xml:space="preserve">docs/guides/HERALD_CONSTITUTION.md</w:t>
      </w:r>
      <w:r>
        <w:t xml:space="preserve"> </w:t>
      </w:r>
      <w:r>
        <w:t xml:space="preserve">§106. The inheritance gate's invariant</w:t>
      </w:r>
      <w:r>
        <w:t xml:space="preserve"> </w:t>
      </w:r>
      <w:r>
        <w:rPr>
          <w:b/>
          <w:bCs/>
        </w:rPr>
        <w:t xml:space="preserve">I7a–c</w:t>
      </w:r>
      <w:r>
        <w:t xml:space="preserve"> </w:t>
      </w:r>
      <w:r>
        <w:t xml:space="preserve">asserts the rule anchor (</w:t>
      </w:r>
      <w:r>
        <w:rPr>
          <w:rStyle w:val="VerbatimChar"/>
        </w:rPr>
        <w:t xml:space="preserve">comprehensive planning and implementation</w:t>
      </w:r>
      <w:r>
        <w:t xml:space="preserve">) is present in all three files; a missing copy is a §1.1 propagation bluff and the gate FAILs.</w:t>
      </w:r>
    </w:p>
    <w:bookmarkEnd w:id="15"/>
    <w:bookmarkStart w:id="16" w:name="X6198677d4a246aad02e8f663e73cd694bf6928c"/>
    <w:p>
      <w:pPr>
        <w:pStyle w:val="Heading3"/>
      </w:pPr>
      <w:r>
        <w:t xml:space="preserve">Multi-host mirror convention (Herald's own upstreams)</w:t>
      </w:r>
    </w:p>
    <w:p>
      <w:pPr>
        <w:pStyle w:val="FirstParagraph"/>
      </w:pPr>
      <w:r>
        <w:rPr>
          <w:rStyle w:val="VerbatimChar"/>
        </w:rPr>
        <w:t xml:space="preserve">upstreams/</w:t>
      </w:r>
      <w:r>
        <w:t xml:space="preserve"> </w:t>
      </w:r>
      <w:r>
        <w:t xml:space="preserve">contains one script per mirror host (GitHub, GitLab, GitFlic, GitVerse). Each script exports</w:t>
      </w:r>
      <w:r>
        <w:t xml:space="preserve"> </w:t>
      </w:r>
      <w:r>
        <w:rPr>
          <w:rStyle w:val="VerbatimChar"/>
        </w:rPr>
        <w:t xml:space="preserve">UPSTREAMABLE_REPOSITORY</w:t>
      </w:r>
      <w:r>
        <w:t xml:space="preserve"> </w:t>
      </w:r>
      <w:r>
        <w:t xml:space="preserve">and is sourced, not executed. The Herald repo's</w:t>
      </w:r>
      <w:r>
        <w:t xml:space="preserve"> </w:t>
      </w:r>
      <w:r>
        <w:rPr>
          <w:rStyle w:val="VerbatimChar"/>
        </w:rPr>
        <w:t xml:space="preserve">origin</w:t>
      </w:r>
      <w:r>
        <w:t xml:space="preserve"> </w:t>
      </w:r>
      <w:r>
        <w:t xml:space="preserve">remote is already fan-out (1 fetch URL + 4 push URLs) — a single</w:t>
      </w:r>
      <w:r>
        <w:t xml:space="preserve"> </w:t>
      </w:r>
      <w:r>
        <w:rPr>
          <w:rStyle w:val="VerbatimChar"/>
        </w:rPr>
        <w:t xml:space="preserve">git push origin &lt;branch&gt;</w:t>
      </w:r>
      <w:r>
        <w:t xml:space="preserve"> </w:t>
      </w:r>
      <w:r>
        <w:t xml:space="preserve">propagates to all four hosts. Per-host naming intentionally matches each provider's brand capitalization; do not normalize.</w:t>
      </w:r>
    </w:p>
    <w:bookmarkEnd w:id="16"/>
    <w:bookmarkStart w:id="17" w:name="forbidden-in-this-project"/>
    <w:p>
      <w:pPr>
        <w:pStyle w:val="Heading3"/>
      </w:pPr>
      <w:r>
        <w:t xml:space="preserve">Forbidden in this project</w:t>
      </w:r>
    </w:p>
    <w:p>
      <w:pPr>
        <w:pStyle w:val="Compact"/>
        <w:numPr>
          <w:ilvl w:val="0"/>
          <w:numId w:val="1007"/>
        </w:numPr>
      </w:pPr>
      <w:r>
        <w:rPr>
          <w:b/>
          <w:bCs/>
        </w:rPr>
        <w:t xml:space="preserve">Re-adding a</w:t>
      </w:r>
      <w:r>
        <w:rPr>
          <w:b/>
          <w:bCs/>
        </w:rPr>
        <w:t xml:space="preserve"> </w:t>
      </w:r>
      <w:r>
        <w:rPr>
          <w:rStyle w:val="VerbatimChar"/>
          <w:b/>
          <w:bCs/>
        </w:rPr>
        <w:t xml:space="preserve">constitution/</w:t>
      </w:r>
      <w:r>
        <w:rPr>
          <w:b/>
          <w:bCs/>
        </w:rPr>
        <w:t xml:space="preserve"> </w:t>
      </w:r>
      <w:r>
        <w:rPr>
          <w:b/>
          <w:bCs/>
        </w:rPr>
        <w:t xml:space="preserve">submodule inside Herald.</w:t>
      </w:r>
      <w:r>
        <w:t xml:space="preserve"> </w:t>
      </w:r>
      <w:r>
        <w:t xml:space="preserve">Herald is consumed as a submodule of a parent project that already provides</w:t>
      </w:r>
      <w:r>
        <w:t xml:space="preserve"> </w:t>
      </w:r>
      <w:r>
        <w:rPr>
          <w:rStyle w:val="VerbatimChar"/>
        </w:rPr>
        <w:t xml:space="preserve">constitution/</w:t>
      </w:r>
      <w:r>
        <w:t xml:space="preserve">. A duplicate copy inside Herald is a deployment-model violation. The inheritance gate's invariant</w:t>
      </w:r>
      <w:r>
        <w:t xml:space="preserve"> </w:t>
      </w:r>
      <w:r>
        <w:rPr>
          <w:rStyle w:val="VerbatimChar"/>
        </w:rPr>
        <w:t xml:space="preserve">I6</w:t>
      </w:r>
      <w:r>
        <w:t xml:space="preserve"> </w:t>
      </w:r>
      <w:r>
        <w:t xml:space="preserve">enforces this — re-adding it will turn the gate red.</w:t>
      </w:r>
    </w:p>
    <w:p>
      <w:pPr>
        <w:pStyle w:val="Compact"/>
        <w:numPr>
          <w:ilvl w:val="0"/>
          <w:numId w:val="1007"/>
        </w:numPr>
      </w:pPr>
      <w:r>
        <w:t xml:space="preserve">Promoting Herald-specific values into the parent constitution (universal status must be EARNED; see Constitution §11.4 + §11.4.10).</w:t>
      </w:r>
    </w:p>
    <w:p>
      <w:pPr>
        <w:pStyle w:val="Compact"/>
        <w:numPr>
          <w:ilvl w:val="0"/>
          <w:numId w:val="1007"/>
        </w:numPr>
      </w:pPr>
      <w:r>
        <w:t xml:space="preserve">Modifying any file under the discovered</w:t>
      </w:r>
      <w:r>
        <w:t xml:space="preserve"> </w:t>
      </w:r>
      <w:r>
        <w:rPr>
          <w:rStyle w:val="VerbatimChar"/>
        </w:rPr>
        <w:t xml:space="preserve">constitution/</w:t>
      </w:r>
      <w:r>
        <w:t xml:space="preserve"> </w:t>
      </w:r>
      <w:r>
        <w:t xml:space="preserve">from Herald commits — the parent's constitution is read-only from Herald's perspective. Constitution changes go through the HelixConstitution repo directly.</w:t>
      </w:r>
    </w:p>
    <w:p>
      <w:pPr>
        <w:pStyle w:val="Compact"/>
        <w:numPr>
          <w:ilvl w:val="0"/>
          <w:numId w:val="1007"/>
        </w:numPr>
      </w:pPr>
      <w:r>
        <w:t xml:space="preserve">Adding new submodules without re-running</w:t>
      </w:r>
      <w:r>
        <w:t xml:space="preserve"> </w:t>
      </w:r>
      <w:r>
        <w:rPr>
          <w:rStyle w:val="VerbatimChar"/>
        </w:rPr>
        <w:t xml:space="preserve">bash tests/test_constitution_inheritance.sh</w:t>
      </w:r>
      <w:r>
        <w:t xml:space="preserve"> </w:t>
      </w:r>
      <w:r>
        <w:t xml:space="preserve">afterward.</w:t>
      </w:r>
    </w:p>
    <w:bookmarkEnd w:id="17"/>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2026-05-22T09:18:19Z</dcterms:created>
  <dcterms:modified xsi:type="dcterms:W3CDTF">2026-05-22T09:18:19Z</dcterms:modified>
</cp:coreProperties>
</file>

<file path=docProps/custom.xml><?xml version="1.0" encoding="utf-8"?>
<Properties xmlns="http://schemas.openxmlformats.org/officeDocument/2006/custom-properties" xmlns:vt="http://schemas.openxmlformats.org/officeDocument/2006/docPropsVTypes"/>
</file>