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3" w:name="herald-constitution"/>
    <w:p>
      <w:pPr>
        <w:pStyle w:val="Heading1"/>
      </w:pPr>
      <w:r>
        <w:t xml:space="preserve">Herald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r4: added §107 End-user-usability covenant (verbatim operator mandate restated at Herald level per §1.1 propagation) + paired gate invariant I8a–c; corrected stale "Owned-submodule set: (none)" to reflect the 10 vendored modules (9 Helix-stack + containers).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§107 mandate + I8 gate invariant + owned-submodule list (r4)</w:t>
            </w:r>
          </w:p>
        </w:tc>
      </w:tr>
      <w:tr>
        <w:tc>
          <w:tcPr/>
          <w:p>
            <w:pPr>
              <w:pStyle w:val="Compact"/>
            </w:pPr>
            <w:r>
              <w:t xml:space="preserve">Fixed summary</w:t>
            </w:r>
          </w:p>
        </w:tc>
        <w:tc>
          <w:tcPr/>
          <w:p>
            <w:pPr>
              <w:pStyle w:val="Compact"/>
            </w:pPr>
            <w:r>
              <w:t xml:space="preserve">§106 spec-change rule retargeted to V3 path; gate-checked anchor 'comprehensive planning and implementation' unchanged so I7 stays green. r4 adds the end-user-usability covenant at Herald level (Helix §11.4 is the canonical authority; Herald restates per §1.1 multi-file propagation discipline) and the I8 gate invariant that asserts the mandate is present in CLAUDE.md + AGENTS.md + this file.</w:t>
            </w:r>
          </w:p>
        </w:tc>
      </w:tr>
      <w:tr>
        <w:tc>
          <w:tcPr/>
          <w:p>
            <w:pPr>
              <w:pStyle w:val="Compact"/>
            </w:pPr>
            <w:r>
              <w:t xml:space="preserve">Continuation</w:t>
            </w:r>
          </w:p>
        </w:tc>
        <w:tc>
          <w:tcPr/>
          <w:p>
            <w:pPr>
              <w:pStyle w:val="Compact"/>
            </w:pPr>
            <w:r>
              <w:t xml:space="preserve">—</w:t>
            </w:r>
          </w:p>
        </w:tc>
      </w:tr>
    </w:tbl>
    <w:bookmarkStart w:id="10" w:name="table-of-contents"/>
    <w:p>
      <w:pPr>
        <w:pStyle w:val="Heading2"/>
      </w:pPr>
      <w:r>
        <w:t xml:space="preserve">Table of contents</w:t>
      </w:r>
    </w:p>
    <w:p>
      <w:pPr>
        <w:pStyle w:val="Compact"/>
        <w:numPr>
          <w:ilvl w:val="0"/>
          <w:numId w:val="1001"/>
        </w:numPr>
      </w:pPr>
      <w:hyperlink w:anchor="project-articles">
        <w:r>
          <w:rPr>
            <w:rStyle w:val="Hyperlink"/>
          </w:rPr>
          <w:t xml:space="preserve">Project Articles</w:t>
        </w:r>
      </w:hyperlink>
    </w:p>
    <w:p>
      <w:pPr>
        <w:pStyle w:val="Compact"/>
        <w:numPr>
          <w:ilvl w:val="1"/>
          <w:numId w:val="1002"/>
        </w:numPr>
      </w:pPr>
      <w:hyperlink w:anchor="Xa31798cb33d5c261749de204a3bfa6c739afcfb">
        <w:r>
          <w:rPr>
            <w:rStyle w:val="Hyperlink"/>
          </w:rPr>
          <w:t xml:space="preserve">§101. Pre-implementation status</w:t>
        </w:r>
      </w:hyperlink>
    </w:p>
    <w:p>
      <w:pPr>
        <w:pStyle w:val="Compact"/>
        <w:numPr>
          <w:ilvl w:val="1"/>
          <w:numId w:val="1002"/>
        </w:numPr>
      </w:pPr>
      <w:hyperlink w:anchor="Xfa363a7bdb98abf9812b19b4b7a1602a4afff5f">
        <w:r>
          <w:rPr>
            <w:rStyle w:val="Hyperlink"/>
          </w:rPr>
          <w:t xml:space="preserve">§102. Mission boundary</w:t>
        </w:r>
      </w:hyperlink>
    </w:p>
    <w:p>
      <w:pPr>
        <w:pStyle w:val="Compact"/>
        <w:numPr>
          <w:ilvl w:val="1"/>
          <w:numId w:val="1002"/>
        </w:numPr>
      </w:pPr>
      <w:hyperlink w:anchor="X1a6b3e71f4548d85f3b63553af8db8aeecf5f7a">
        <w:r>
          <w:rPr>
            <w:rStyle w:val="Hyperlink"/>
          </w:rPr>
          <w:t xml:space="preserve">§103. Mirror parity (extends Universal §2.1)</w:t>
        </w:r>
      </w:hyperlink>
    </w:p>
    <w:p>
      <w:pPr>
        <w:pStyle w:val="Compact"/>
        <w:numPr>
          <w:ilvl w:val="1"/>
          <w:numId w:val="1002"/>
        </w:numPr>
      </w:pPr>
      <w:hyperlink w:anchor="Xa35fc9eee7bd866d87a2c13afad36f640b8d35e">
        <w:r>
          <w:rPr>
            <w:rStyle w:val="Hyperlink"/>
          </w:rPr>
          <w:t xml:space="preserve">§104. No embedded constitution (extends Universal §3)</w:t>
        </w:r>
      </w:hyperlink>
    </w:p>
    <w:p>
      <w:pPr>
        <w:pStyle w:val="Compact"/>
        <w:numPr>
          <w:ilvl w:val="1"/>
          <w:numId w:val="1002"/>
        </w:numPr>
      </w:pPr>
      <w:hyperlink w:anchor="Xfda569015484938714f03f843be7f97a5d3360a">
        <w:r>
          <w:rPr>
            <w:rStyle w:val="Hyperlink"/>
          </w:rPr>
          <w:t xml:space="preserve">§105. Inheritance gate (extends Universal §1.1)</w:t>
        </w:r>
      </w:hyperlink>
    </w:p>
    <w:p>
      <w:pPr>
        <w:pStyle w:val="Compact"/>
        <w:numPr>
          <w:ilvl w:val="1"/>
          <w:numId w:val="1002"/>
        </w:numPr>
      </w:pPr>
      <w:hyperlink w:anchor="Xae6d8d8df17b26b9dde57f5bcbfdaf95bd46fe6">
        <w:r>
          <w:rPr>
            <w:rStyle w:val="Hyperlink"/>
          </w:rPr>
          <w:t xml:space="preserve">§106. Spec-change rule (extends Universal §11.4)</w:t>
        </w:r>
      </w:hyperlink>
    </w:p>
    <w:p>
      <w:pPr>
        <w:pStyle w:val="Compact"/>
        <w:numPr>
          <w:ilvl w:val="1"/>
          <w:numId w:val="1002"/>
        </w:numPr>
      </w:pPr>
      <w:hyperlink w:anchor="X29fc183379598a06cd73709160e99381edd06ff">
        <w:r>
          <w:rPr>
            <w:rStyle w:val="Hyperlink"/>
          </w:rPr>
          <w:t xml:space="preserve">§107. End-user-usability covenant (extends Universal §11.4 — MANDATORY ANTI-BLUFF)</w:t>
        </w:r>
      </w:hyperlink>
    </w:p>
    <w:p>
      <w:pPr>
        <w:pStyle w:val="Compact"/>
        <w:numPr>
          <w:ilvl w:val="0"/>
          <w:numId w:val="1001"/>
        </w:numPr>
      </w:pPr>
      <w:hyperlink w:anchor="overrides-of-universal-constitution">
        <w:r>
          <w:rPr>
            <w:rStyle w:val="Hyperlink"/>
          </w:rPr>
          <w:t xml:space="preserve">Overrides of Universal Constitution</w:t>
        </w:r>
      </w:hyperlink>
    </w:p>
    <w:p>
      <w:pPr>
        <w:pStyle w:val="Compact"/>
        <w:numPr>
          <w:ilvl w:val="0"/>
          <w:numId w:val="1001"/>
        </w:numPr>
      </w:pPr>
      <w:hyperlink w:anchor="owned-submodule-set-per-universal-4">
        <w:r>
          <w:rPr>
            <w:rStyle w:val="Hyperlink"/>
          </w:rPr>
          <w:t xml:space="preserve">Owned-submodule set (per Universal §4)</w:t>
        </w:r>
      </w:hyperlink>
    </w:p>
    <w:p>
      <w:pPr>
        <w:pStyle w:val="Compact"/>
        <w:numPr>
          <w:ilvl w:val="0"/>
          <w:numId w:val="1001"/>
        </w:numPr>
      </w:pPr>
      <w:hyperlink w:anchor="project-specific-remotes">
        <w:r>
          <w:rPr>
            <w:rStyle w:val="Hyperlink"/>
          </w:rPr>
          <w:t xml:space="preserve">Project-specific remotes</w:t>
        </w:r>
      </w:hyperlink>
    </w:p>
    <w:p>
      <w:pPr>
        <w:pStyle w:val="Compact"/>
        <w:numPr>
          <w:ilvl w:val="0"/>
          <w:numId w:val="1001"/>
        </w:numPr>
      </w:pPr>
      <w:hyperlink w:anchor="notes">
        <w:r>
          <w:rPr>
            <w:rStyle w:val="Hyperlink"/>
          </w:rPr>
          <w:t xml:space="preserve">Notes</w:t>
        </w:r>
      </w:hyperlink>
    </w:p>
    <w:p>
      <w:pPr>
        <w:pStyle w:val="FirstParagraph"/>
      </w:pPr>
      <w:r>
        <w:t xml:space="preserve">This constitution</w:t>
      </w:r>
      <w:r>
        <w:t xml:space="preserve"> </w:t>
      </w:r>
      <w:r>
        <w:rPr>
          <w:b/>
          <w:bCs/>
        </w:rPr>
        <w:t xml:space="preserve">extends</w:t>
      </w:r>
      <w:r>
        <w:t xml:space="preserve"> </w:t>
      </w:r>
      <w:r>
        <w:t xml:space="preserve">the Helix Universal Constitution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 — see</w:t>
      </w:r>
      <w:r>
        <w:t xml:space="preserve"> </w:t>
      </w:r>
      <w:r>
        <w:rPr>
          <w:rStyle w:val="VerbatimChar"/>
        </w:rPr>
        <w:t xml:space="preserve">docs/guides/CONSTITUTION_INHERITANCE.md</w:t>
      </w:r>
      <w:r>
        <w:t xml:space="preserve"> </w:t>
      </w:r>
      <w:r>
        <w:t xml:space="preserve">for the discovery contract.</w:t>
      </w:r>
    </w:p>
    <w:p>
      <w:pPr>
        <w:pStyle w:val="BodyText"/>
      </w:pPr>
      <w:r>
        <w:t xml:space="preserve">All clauses in the parent-provided</w:t>
      </w:r>
      <w:r>
        <w:t xml:space="preserve"> </w:t>
      </w:r>
      <w:r>
        <w:rPr>
          <w:rStyle w:val="VerbatimChar"/>
        </w:rPr>
        <w:t xml:space="preserve">constitution/Constitution.md</w:t>
      </w:r>
      <w:r>
        <w:t xml:space="preserve"> </w:t>
      </w:r>
      <w:r>
        <w:t xml:space="preserve">apply unless explicitly overridden below with an explicit</w:t>
      </w:r>
      <w:r>
        <w:t xml:space="preserve"> </w:t>
      </w:r>
      <w:r>
        <w:rPr>
          <w:rStyle w:val="VerbatimChar"/>
        </w:rPr>
        <w:t xml:space="preserve">Override §X.Y</w:t>
      </w:r>
      <w:r>
        <w:t xml:space="preserve"> </w:t>
      </w:r>
      <w:r>
        <w:t xml:space="preserve">section.</w:t>
      </w:r>
    </w:p>
    <w:p>
      <w:pPr>
        <w:pStyle w:val="BodyText"/>
      </w:pPr>
      <w:r>
        <w:t xml:space="preserve">Canonical constitution repo:</w:t>
      </w:r>
      <w:r>
        <w:t xml:space="preserve"> </w:t>
      </w:r>
      <w:hyperlink r:id="rId9">
        <w:r>
          <w:rPr>
            <w:rStyle w:val="Hyperlink"/>
          </w:rPr>
          <w:t xml:space="preserve">https://github.com/HelixDevelopment/HelixConstitution</w:t>
        </w:r>
      </w:hyperlink>
    </w:p>
    <w:bookmarkEnd w:id="10"/>
    <w:bookmarkStart w:id="18" w:name="project-articles"/>
    <w:p>
      <w:pPr>
        <w:pStyle w:val="Heading2"/>
      </w:pPr>
      <w:r>
        <w:t xml:space="preserve">Project Articles</w:t>
      </w:r>
    </w:p>
    <w:bookmarkStart w:id="11" w:name="Xa31798cb33d5c261749de204a3bfa6c739afcfb"/>
    <w:p>
      <w:pPr>
        <w:pStyle w:val="Heading3"/>
      </w:pPr>
      <w:r>
        <w:t xml:space="preserve">§101. Pre-implementation status</w:t>
      </w:r>
    </w:p>
    <w:p>
      <w:pPr>
        <w:pStyle w:val="FirstParagraph"/>
      </w:pPr>
      <w:r>
        <w:t xml:space="preserve">Herald is pre-implementation. Until a</w:t>
      </w:r>
      <w:r>
        <w:t xml:space="preserve"> </w:t>
      </w:r>
      <w:r>
        <w:rPr>
          <w:rStyle w:val="VerbatimChar"/>
        </w:rPr>
        <w:t xml:space="preserve">go.mod</w:t>
      </w:r>
      <w:r>
        <w:t xml:space="preserve"> </w:t>
      </w:r>
      <w:r>
        <w:t xml:space="preserve">is committed, no clause below may be interpreted as authorizing the agent to fabricate build/test infrastructure that doesn't yet exist. Confirm the disambiguation (scaffold vs. fill spec) with the operator before writing code, per Universal §11.4.6 (no-guessing).</w:t>
      </w:r>
    </w:p>
    <w:bookmarkEnd w:id="11"/>
    <w:bookmarkStart w:id="12" w:name="Xfa363a7bdb98abf9812b19b4b7a1602a4afff5f"/>
    <w:p>
      <w:pPr>
        <w:pStyle w:val="Heading3"/>
      </w:pPr>
      <w:r>
        <w:t xml:space="preserve">§102. Mission boundary</w:t>
      </w:r>
    </w:p>
    <w:p>
      <w:pPr>
        <w:pStyle w:val="FirstParagraph"/>
      </w:pPr>
      <w:r>
        <w:t xml:space="preserve">Herald ingests system events and fans them out to multiple notification channels. Anything outside event ingestion or notification fan-out is</w:t>
      </w:r>
      <w:r>
        <w:t xml:space="preserve"> </w:t>
      </w:r>
      <w:r>
        <w:rPr>
          <w:b/>
          <w:bCs/>
        </w:rPr>
        <w:t xml:space="preserve">out of scope</w:t>
      </w:r>
      <w:r>
        <w:t xml:space="preserve"> </w:t>
      </w:r>
      <w:r>
        <w:t xml:space="preserve">for this repo and belongs in a different submodule of the consuming project.</w:t>
      </w:r>
    </w:p>
    <w:bookmarkEnd w:id="12"/>
    <w:bookmarkStart w:id="13" w:name="X1a6b3e71f4548d85f3b63553af8db8aeecf5f7a"/>
    <w:p>
      <w:pPr>
        <w:pStyle w:val="Heading3"/>
      </w:pPr>
      <w:r>
        <w:t xml:space="preserve">§103. Mirror parity (extends Universal §2.1)</w:t>
      </w:r>
    </w:p>
    <w:p>
      <w:pPr>
        <w:pStyle w:val="FirstParagraph"/>
      </w:pPr>
      <w:r>
        <w:t xml:space="preserve">Every commit on</w:t>
      </w:r>
      <w:r>
        <w:t xml:space="preserve"> </w:t>
      </w:r>
      <w:r>
        <w:rPr>
          <w:rStyle w:val="VerbatimChar"/>
        </w:rPr>
        <w:t xml:space="preserve">main</w:t>
      </w:r>
      <w:r>
        <w:t xml:space="preserve"> </w:t>
      </w:r>
      <w:r>
        <w:t xml:space="preserve">MUST land on all four upstream hosts (GitHub, GitLab, GitFlic, GitVerse) in a single fan-out push. The repo's</w:t>
      </w:r>
      <w:r>
        <w:t xml:space="preserve"> </w:t>
      </w:r>
      <w:r>
        <w:rPr>
          <w:rStyle w:val="VerbatimChar"/>
        </w:rPr>
        <w:t xml:space="preserve">origin</w:t>
      </w:r>
      <w:r>
        <w:t xml:space="preserve"> </w:t>
      </w:r>
      <w:r>
        <w:t xml:space="preserve">remote already aggregates the four push URLs; do not bypass</w:t>
      </w:r>
      <w:r>
        <w:t xml:space="preserve"> </w:t>
      </w:r>
      <w:r>
        <w:rPr>
          <w:rStyle w:val="VerbatimChar"/>
        </w:rPr>
        <w:t xml:space="preserve">origin</w:t>
      </w:r>
      <w:r>
        <w:t xml:space="preserve"> </w:t>
      </w:r>
      <w:r>
        <w:t xml:space="preserve">with per-host pushes unless rebuilding the fan-out configuration.</w:t>
      </w:r>
    </w:p>
    <w:bookmarkEnd w:id="13"/>
    <w:bookmarkStart w:id="14" w:name="Xa35fc9eee7bd866d87a2c13afad36f640b8d35e"/>
    <w:p>
      <w:pPr>
        <w:pStyle w:val="Heading3"/>
      </w:pPr>
      <w:r>
        <w:t xml:space="preserve">§104. No embedded constitution (extends Universal §3)</w:t>
      </w:r>
    </w:p>
    <w:p>
      <w:pPr>
        <w:pStyle w:val="FirstParagraph"/>
      </w:pPr>
      <w:r>
        <w:t xml:space="preserve">Herald</w:t>
      </w:r>
      <w:r>
        <w:t xml:space="preserve"> </w:t>
      </w:r>
      <w:r>
        <w:rPr>
          <w:b/>
          <w:bCs/>
        </w:rPr>
        <w:t xml:space="preserve">MUST NOT</w:t>
      </w:r>
      <w:r>
        <w:t xml:space="preserve"> </w:t>
      </w:r>
      <w:r>
        <w:t xml:space="preserve">carry its own</w:t>
      </w:r>
      <w:r>
        <w:t xml:space="preserve"> </w:t>
      </w:r>
      <w:r>
        <w:rPr>
          <w:rStyle w:val="VerbatimChar"/>
        </w:rPr>
        <w:t xml:space="preserve">constitution/</w:t>
      </w:r>
      <w:r>
        <w:t xml:space="preserve"> </w:t>
      </w:r>
      <w:r>
        <w:t xml:space="preserve">submodule. Herald is consumed as a submodule of a parent project that already provides the constitution; a duplicated copy would diverge in pinning, cause confusion about which is authoritative, and violate the "submodule commits propagate first" propagation order (Universal §3). The inheritance gate's invariant</w:t>
      </w:r>
      <w:r>
        <w:t xml:space="preserve"> </w:t>
      </w:r>
      <w:r>
        <w:rPr>
          <w:rStyle w:val="VerbatimChar"/>
        </w:rPr>
        <w:t xml:space="preserve">I6</w:t>
      </w:r>
      <w:r>
        <w:t xml:space="preserve"> </w:t>
      </w:r>
      <w:r>
        <w:t xml:space="preserve">enforces this: it FAILs if</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reappears.</w:t>
      </w:r>
    </w:p>
    <w:p>
      <w:pPr>
        <w:pStyle w:val="BodyText"/>
      </w:pPr>
      <w:r>
        <w:t xml:space="preserve">For standalone development of Herald (no parent project), clone the constitution</w:t>
      </w:r>
      <w:r>
        <w:t xml:space="preserve"> </w:t>
      </w:r>
      <w:r>
        <w:rPr>
          <w:b/>
          <w:bCs/>
        </w:rPr>
        <w:t xml:space="preserve">alongside</w:t>
      </w:r>
      <w:r>
        <w:t xml:space="preserve"> </w:t>
      </w:r>
      <w:r>
        <w:t xml:space="preserve">Herald, not inside it:</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bookmarkEnd w:id="14"/>
    <w:bookmarkStart w:id="15" w:name="Xfda569015484938714f03f843be7f97a5d3360a"/>
    <w:p>
      <w:pPr>
        <w:pStyle w:val="Heading3"/>
      </w:pPr>
      <w:r>
        <w:t xml:space="preserve">§105. Inheritance gate (extends Universal §1.1)</w:t>
      </w:r>
    </w:p>
    <w:p>
      <w:pPr>
        <w:pStyle w:val="FirstParagraph"/>
      </w:pPr>
      <w:r>
        <w:rPr>
          <w:rStyle w:val="VerbatimChar"/>
        </w:rPr>
        <w:t xml:space="preserve">tests/test_constitution_inheritance.sh</w:t>
      </w:r>
      <w:r>
        <w:t xml:space="preserve"> </w:t>
      </w:r>
      <w:r>
        <w:t xml:space="preserve">discovers the parent-provided constitution via inline parent-walk (mirrors</w:t>
      </w:r>
      <w:r>
        <w:t xml:space="preserve"> </w:t>
      </w:r>
      <w:r>
        <w:rPr>
          <w:rStyle w:val="VerbatimChar"/>
        </w:rPr>
        <w:t xml:space="preserve">find_constitution.sh</w:t>
      </w:r>
      <w:r>
        <w:t xml:space="preserve"> </w:t>
      </w:r>
      <w:r>
        <w:t xml:space="preserve">Phase 1), then asserts six invariants: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Invariant</w:t>
            </w:r>
          </w:p>
        </w:tc>
      </w:tr>
      <w:tr>
        <w:tc>
          <w:tcPr/>
          <w:p>
            <w:pPr>
              <w:pStyle w:val="Compact"/>
            </w:pPr>
            <w:r>
              <w:t xml:space="preserve">I1</w:t>
            </w:r>
          </w:p>
        </w:tc>
        <w:tc>
          <w:tcPr/>
          <w:p>
            <w:pPr>
              <w:pStyle w:val="Compact"/>
            </w:pPr>
            <w:r>
              <w:t xml:space="preserve">A</w:t>
            </w:r>
            <w:r>
              <w:t xml:space="preserve"> </w:t>
            </w:r>
            <w:r>
              <w:rPr>
                <w:rStyle w:val="VerbatimChar"/>
              </w:rPr>
              <w:t xml:space="preserve">constitution/Constitution.md</w:t>
            </w:r>
            <w:r>
              <w:t xml:space="preserve"> </w:t>
            </w:r>
            <w:r>
              <w:t xml:space="preserve">is reachable by walking up the parent chain from Herald's repo root.</w:t>
            </w:r>
          </w:p>
        </w:tc>
      </w:tr>
      <w:tr>
        <w:tc>
          <w:tcPr/>
          <w:p>
            <w:pPr>
              <w:pStyle w:val="Compact"/>
            </w:pPr>
            <w:r>
              <w:t xml:space="preserve">I2</w:t>
            </w:r>
          </w:p>
        </w:tc>
        <w:tc>
          <w:tcPr/>
          <w:p>
            <w:pPr>
              <w:pStyle w:val="Compact"/>
            </w:pPr>
            <w:r>
              <w:t xml:space="preserve">The discovered</w:t>
            </w:r>
            <w:r>
              <w:t xml:space="preserve"> </w:t>
            </w:r>
            <w:r>
              <w:rPr>
                <w:rStyle w:val="VerbatimChar"/>
              </w:rPr>
              <w:t xml:space="preserve">Constitution.md</w:t>
            </w:r>
            <w:r>
              <w:t xml:space="preserve"> </w:t>
            </w:r>
            <w:r>
              <w:t xml:space="preserve">contains the</w:t>
            </w:r>
            <w:r>
              <w:t xml:space="preserve"> </w:t>
            </w:r>
            <w:r>
              <w:rPr>
                <w:rStyle w:val="VerbatimChar"/>
              </w:rPr>
              <w:t xml:space="preserve">§11.4 End-user quality guarantee — forensic anchor</w:t>
            </w:r>
            <w:r>
              <w:t xml:space="preserve"> </w:t>
            </w:r>
            <w:r>
              <w:t xml:space="preserve">line (the exact string the §1.1 mutation removes).</w:t>
            </w:r>
          </w:p>
        </w:tc>
      </w:tr>
      <w:tr>
        <w:tc>
          <w:tcPr/>
          <w:p>
            <w:pPr>
              <w:pStyle w:val="Compact"/>
            </w:pPr>
            <w:r>
              <w:t xml:space="preserve">I3</w:t>
            </w:r>
          </w:p>
        </w:tc>
        <w:tc>
          <w:tcPr/>
          <w:p>
            <w:pPr>
              <w:pStyle w:val="Compact"/>
            </w:pPr>
            <w:r>
              <w:t xml:space="preserve">The discovered</w:t>
            </w:r>
            <w:r>
              <w:t xml:space="preserve"> </w:t>
            </w:r>
            <w:r>
              <w:rPr>
                <w:rStyle w:val="VerbatimChar"/>
              </w:rPr>
              <w:t xml:space="preserve">CLAUDE.md</w:t>
            </w:r>
            <w:r>
              <w:t xml:space="preserve"> </w:t>
            </w:r>
            <w:r>
              <w:t xml:space="preserve">contains the</w:t>
            </w:r>
            <w:r>
              <w:t xml:space="preserve"> </w:t>
            </w:r>
            <w:r>
              <w:rPr>
                <w:rStyle w:val="VerbatimChar"/>
              </w:rPr>
              <w:t xml:space="preserve">MANDATORY ANTI-BLUFF COVENANT</w:t>
            </w:r>
            <w:r>
              <w:t xml:space="preserve"> </w:t>
            </w:r>
            <w:r>
              <w:t xml:space="preserve">anchor.</w:t>
            </w:r>
          </w:p>
        </w:tc>
      </w:tr>
      <w:tr>
        <w:tc>
          <w:tcPr/>
          <w:p>
            <w:pPr>
              <w:pStyle w:val="Compact"/>
            </w:pPr>
            <w:r>
              <w:t xml:space="preserve">I4</w:t>
            </w:r>
          </w:p>
        </w:tc>
        <w:tc>
          <w:tcPr/>
          <w:p>
            <w:pPr>
              <w:pStyle w:val="Compact"/>
            </w:pPr>
            <w:r>
              <w:t xml:space="preserve">The discovered</w:t>
            </w:r>
            <w:r>
              <w:t xml:space="preserve"> </w:t>
            </w:r>
            <w:r>
              <w:rPr>
                <w:rStyle w:val="VerbatimChar"/>
              </w:rPr>
              <w:t xml:space="preserve">AGENTS.md</w:t>
            </w:r>
            <w:r>
              <w:t xml:space="preserve"> </w:t>
            </w:r>
            <w:r>
              <w:t xml:space="preserve">contains the</w:t>
            </w:r>
            <w:r>
              <w:t xml:space="preserve"> </w:t>
            </w:r>
            <w:r>
              <w:rPr>
                <w:rStyle w:val="VerbatimChar"/>
              </w:rPr>
              <w:t xml:space="preserve">Anti-bluff covenant</w:t>
            </w:r>
            <w:r>
              <w:t xml:space="preserve"> </w:t>
            </w:r>
            <w:r>
              <w:t xml:space="preserve">anchor.</w:t>
            </w:r>
          </w:p>
        </w:tc>
      </w:tr>
      <w:tr>
        <w:tc>
          <w:tcPr/>
          <w:p>
            <w:pPr>
              <w:pStyle w:val="Compact"/>
            </w:pPr>
            <w:r>
              <w:t xml:space="preserve">I5a–d</w:t>
            </w:r>
          </w:p>
        </w:tc>
        <w:tc>
          <w:tcPr/>
          <w:p>
            <w:pPr>
              <w:pStyle w:val="Compact"/>
            </w:pPr>
            <w:r>
              <w:t xml:space="preserve">Herald's root docs (</w:t>
            </w:r>
            <w:r>
              <w:rPr>
                <w:rStyle w:val="VerbatimChar"/>
              </w:rPr>
              <w:t xml:space="preserve">CLAUDE.md</w:t>
            </w:r>
            <w:r>
              <w:t xml:space="preserve">,</w:t>
            </w:r>
            <w:r>
              <w:t xml:space="preserve"> </w:t>
            </w:r>
            <w:r>
              <w:rPr>
                <w:rStyle w:val="VerbatimChar"/>
              </w:rPr>
              <w:t xml:space="preserve">AGENTS.md</w:t>
            </w:r>
            <w:r>
              <w:t xml:space="preserve">, this file, and</w:t>
            </w:r>
            <w:r>
              <w:t xml:space="preserve"> </w:t>
            </w:r>
            <w:r>
              <w:rPr>
                <w:rStyle w:val="VerbatimChar"/>
              </w:rPr>
              <w:t xml:space="preserve">README.md</w:t>
            </w:r>
            <w:r>
              <w:t xml:space="preserve">) all declare the parent-discovery inheritance contract.</w:t>
            </w:r>
          </w:p>
        </w:tc>
      </w:tr>
      <w:tr>
        <w:tc>
          <w:tcPr/>
          <w:p>
            <w:pPr>
              <w:pStyle w:val="Compact"/>
            </w:pPr>
            <w:r>
              <w:t xml:space="preserve">I6</w:t>
            </w:r>
          </w:p>
        </w:tc>
        <w:tc>
          <w:tcPr/>
          <w:p>
            <w:pPr>
              <w:pStyle w:val="Compact"/>
            </w:pPr>
            <w:r>
              <w:t xml:space="preserve">No</w:t>
            </w:r>
            <w:r>
              <w:t xml:space="preserve"> </w:t>
            </w:r>
            <w:r>
              <w:rPr>
                <w:rStyle w:val="VerbatimChar"/>
              </w:rPr>
              <w:t xml:space="preserve">constitution/</w:t>
            </w:r>
            <w:r>
              <w:t xml:space="preserve"> </w:t>
            </w:r>
            <w:r>
              <w:t xml:space="preserve">directory or</w:t>
            </w:r>
            <w:r>
              <w:t xml:space="preserve"> </w:t>
            </w:r>
            <w:r>
              <w:rPr>
                <w:rStyle w:val="VerbatimChar"/>
              </w:rPr>
              <w:t xml:space="preserve">.gitmodules</w:t>
            </w:r>
            <w:r>
              <w:t xml:space="preserve"> </w:t>
            </w:r>
            <w:r>
              <w:t xml:space="preserve">file exists at Herald's root (the §104 invariant).</w:t>
            </w:r>
          </w:p>
        </w:tc>
      </w:tr>
      <w:tr>
        <w:tc>
          <w:tcPr/>
          <w:p>
            <w:pPr>
              <w:pStyle w:val="Compact"/>
            </w:pPr>
            <w:r>
              <w:t xml:space="preserve">I7a–c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§106 spec-change rule anchor (per §1.1 propagation, mutation-paired).</w:t>
            </w:r>
          </w:p>
        </w:tc>
      </w:tr>
      <w:tr>
        <w:tc>
          <w:tcPr/>
          <w:p>
            <w:pPr>
              <w:pStyle w:val="Compact"/>
            </w:pPr>
            <w:r>
              <w:t xml:space="preserve">I8a–c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§107 end-user-usability covenant anchor (the verbatim operator-mandate quote — per §1.1 propagation, mutation-paired).</w:t>
            </w:r>
          </w:p>
        </w:tc>
      </w:tr>
    </w:tbl>
    <w:p>
      <w:pPr>
        <w:pStyle w:val="BodyText"/>
      </w:pPr>
      <w:r>
        <w:rPr>
          <w:rStyle w:val="VerbatimChar"/>
        </w:rPr>
        <w:t xml:space="preserve">tests/test_constitution_inheritance_meta.sh</w:t>
      </w:r>
      <w:r>
        <w:t xml:space="preserve"> </w:t>
      </w:r>
      <w:r>
        <w:t xml:space="preserve">delegates to the discovered constitution's</w:t>
      </w:r>
      <w:r>
        <w:t xml:space="preserve"> </w:t>
      </w:r>
      <w:r>
        <w:rPr>
          <w:rStyle w:val="VerbatimChar"/>
        </w:rPr>
        <w:t xml:space="preserve">meta_test_inheritance.sh</w:t>
      </w:r>
      <w:r>
        <w:t xml:space="preserve">, which strips the §11.4 anchor from</w:t>
      </w:r>
      <w:r>
        <w:t xml:space="preserve"> </w:t>
      </w:r>
      <w:r>
        <w:rPr>
          <w:rStyle w:val="VerbatimChar"/>
        </w:rPr>
        <w:t xml:space="preserve">Constitution.md</w:t>
      </w:r>
      <w:r>
        <w:t xml:space="preserve">, runs the gate, and asserts FAIL — proving the gate is not a bluff (Universal §1.1).</w:t>
      </w:r>
    </w:p>
    <w:p>
      <w:pPr>
        <w:pStyle w:val="BodyText"/>
      </w:pPr>
      <w:r>
        <w:t xml:space="preserve">Both scripts run as a precondition to any commit that touches root docs or the discovery contract.</w:t>
      </w:r>
    </w:p>
    <w:bookmarkEnd w:id="15"/>
    <w:bookmarkStart w:id="16" w:name="Xae6d8d8df17b26b9dde57f5bcbfdaf95bd46fe6"/>
    <w:p>
      <w:pPr>
        <w:pStyle w:val="Heading3"/>
      </w:pPr>
      <w:r>
        <w:t xml:space="preserve">§106. Spec-change rule (extends Universal §11.4)</w:t>
      </w:r>
    </w:p>
    <w:p>
      <w:pPr>
        <w:pStyle w:val="FirstParagraph"/>
      </w:pPr>
      <w:r>
        <w:t xml:space="preserve">Any modification to</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 of all changes</w:t>
      </w:r>
      <w:r>
        <w:t xml:space="preserve">. An agent or contributor may not edit the spec in isolation: every change is a project-wide ripple that requires the corresponding code, tests, and downstream doc updates in the same logical work effort.</w:t>
      </w:r>
    </w:p>
    <w:p>
      <w:pPr>
        <w:pStyle w:val="BodyText"/>
      </w:pPr>
      <w:r>
        <w:t xml:space="preserve">This rule does NOT apply to creating or renaming files; for those, the operator must explicitly tell the worker (CLI agent or human contributor) what to do with the newly created or copied files.</w:t>
      </w:r>
    </w:p>
    <w:p>
      <w:pPr>
        <w:pStyle w:val="BodyText"/>
      </w:pPr>
      <w:r>
        <w:rPr>
          <w:b/>
          <w:bCs/>
        </w:rPr>
        <w:t xml:space="preserve">Propagation.</w:t>
      </w:r>
      <w:r>
        <w:t xml:space="preserve"> </w:t>
      </w:r>
      <w:r>
        <w:t xml:space="preserve">The same rule is restated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b/>
          <w:bCs/>
        </w:rPr>
        <w:t xml:space="preserve">I7a–c</w:t>
      </w:r>
      <w:r>
        <w:t xml:space="preserve"> </w:t>
      </w:r>
      <w:r>
        <w:t xml:space="preserve">asserts the rule's anchor literal (</w:t>
      </w:r>
      <w:r>
        <w:rPr>
          <w:rStyle w:val="VerbatimChar"/>
        </w:rPr>
        <w:t xml:space="preserve">comprehensive planning and implementation</w:t>
      </w:r>
      <w:r>
        <w:t xml:space="preserve">) is present in all three files; a missing copy is a propagation bluff and the gate FAILs.</w:t>
      </w:r>
    </w:p>
    <w:p>
      <w:pPr>
        <w:pStyle w:val="BodyText"/>
      </w:pPr>
      <w:r>
        <w:rPr>
          <w:b/>
          <w:bCs/>
        </w:rPr>
        <w:t xml:space="preserve">Anchor (forensic):</w:t>
      </w:r>
      <w:r>
        <w:t xml:space="preserve"> </w:t>
      </w:r>
      <w:r>
        <w:t xml:space="preserve">the literal text</w:t>
      </w:r>
      <w:r>
        <w:t xml:space="preserve"> </w:t>
      </w:r>
      <w:r>
        <w:rPr>
          <w:rStyle w:val="VerbatimChar"/>
        </w:rPr>
        <w:t xml:space="preserve">Whenever this document (\</w:t>
      </w:r>
      <w:r>
        <w:t xml:space="preserve">docs/specs/mvp/specification.V3.md`)</w:t>
      </w:r>
      <w:r>
        <w:rPr>
          <w:rStyle w:val="VerbatimChar"/>
        </w:rPr>
        <w:t xml:space="preserve">MUST appear in</w:t>
      </w:r>
      <w:r>
        <w:t xml:space="preserve">docs/specs/mvp/specification.V3.md` §"Specification documents" — that line is the source of truth that all three propagated copies summarize.</w:t>
      </w:r>
    </w:p>
    <w:p>
      <w:pPr>
        <w:pStyle w:val="BodyText"/>
      </w:pPr>
      <w:r>
        <w:rPr>
          <w:b/>
          <w:bCs/>
        </w:rPr>
        <w:t xml:space="preserve">Paired §1.1 mutation (planned).</w:t>
      </w:r>
      <w:r>
        <w:t xml:space="preserve"> </w:t>
      </w:r>
      <w:r>
        <w:t xml:space="preserve">Removing the spec-change anchor from any of the three propagation files MUST cause</w:t>
      </w:r>
      <w:r>
        <w:t xml:space="preserve"> </w:t>
      </w:r>
      <w:r>
        <w:rPr>
          <w:rStyle w:val="VerbatimChar"/>
        </w:rPr>
        <w:t xml:space="preserve">I7a/b/c</w:t>
      </w:r>
      <w:r>
        <w:t xml:space="preserve"> </w:t>
      </w:r>
      <w:r>
        <w:t xml:space="preserve">to FAIL; the paired meta-test will be added when</w:t>
      </w:r>
      <w:r>
        <w:t xml:space="preserve"> </w:t>
      </w:r>
      <w:r>
        <w:rPr>
          <w:rStyle w:val="VerbatimChar"/>
        </w:rPr>
        <w:t xml:space="preserve">test_constitution_inheritance_meta.sh</w:t>
      </w:r>
      <w:r>
        <w:t xml:space="preserve"> </w:t>
      </w:r>
      <w:r>
        <w:t xml:space="preserve">is generalised beyond its current single-anchor mutation.</w:t>
      </w:r>
    </w:p>
    <w:bookmarkEnd w:id="16"/>
    <w:bookmarkStart w:id="17" w:name="X29fc183379598a06cd73709160e99381edd06ff"/>
    <w:p>
      <w:pPr>
        <w:pStyle w:val="Heading3"/>
      </w:pPr>
      <w:r>
        <w:t xml:space="preserve">§107. End-user-usability covenant (extends Universal §11.4 — MANDATORY ANTI-BLUFF)</w:t>
      </w:r>
    </w:p>
    <w:p>
      <w:pPr>
        <w:pStyle w:val="FirstParagraph"/>
      </w:pPr>
      <w:r>
        <w:rPr>
          <w:b/>
          <w:bCs/>
        </w:rPr>
        <w:t xml:space="preserve">Forensic anchor — verbatim operator mandate (first declared 2026-04-28, reasserted 2026-05-19 and 2026-05-20):</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Canonical authority.</w:t>
      </w:r>
      <w:r>
        <w:t xml:space="preserve"> </w:t>
      </w:r>
      <w:r>
        <w:t xml:space="preserve">Helix Universal Constitution §11.4 + §11.4.1..§11.4.16, restated at the parent's</w:t>
      </w:r>
      <w:r>
        <w:t xml:space="preserve"> </w:t>
      </w:r>
      <w:r>
        <w:rPr>
          <w:rStyle w:val="VerbatimChar"/>
        </w:rPr>
        <w:t xml:space="preserve">constitution/CLAUDE.md</w:t>
      </w:r>
      <w:r>
        <w:t xml:space="preserve"> </w:t>
      </w:r>
      <w:r>
        <w:t xml:space="preserve">"MANDATORY ANTI-BLUFF COVENANT — END-USER QUALITY GUARANTEE" section and at the parent's</w:t>
      </w:r>
      <w:r>
        <w:t xml:space="preserve"> </w:t>
      </w:r>
      <w:r>
        <w:rPr>
          <w:rStyle w:val="VerbatimChar"/>
        </w:rPr>
        <w:t xml:space="preserve">constitution/AGENTS.md</w:t>
      </w:r>
      <w:r>
        <w:t xml:space="preserve"> </w:t>
      </w:r>
      <w:r>
        <w:t xml:space="preserve">matching section. Herald inherits the covenant unconditionally; §107 exists to make the restatement explicit at Herald level and to bind every Herald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 to the covenant on its own terms.</w:t>
      </w:r>
    </w:p>
    <w:p>
      <w:pPr>
        <w:pStyle w:val="BodyText"/>
      </w:pPr>
      <w:r>
        <w:rPr>
          <w:b/>
          <w:bCs/>
        </w:rPr>
        <w:t xml:space="preserve">Operative rule (Herald-binding).</w:t>
      </w:r>
    </w:p>
    <w:p>
      <w:pPr>
        <w:pStyle w:val="Compact"/>
        <w:numPr>
          <w:ilvl w:val="0"/>
          <w:numId w:val="1003"/>
        </w:numPr>
      </w:pPr>
      <w:r>
        <w:t xml:space="preserve">The bar for shipping any Herald feature is</w:t>
      </w:r>
      <w:r>
        <w:t xml:space="preserve"> </w:t>
      </w:r>
      <w:r>
        <w:rPr>
          <w:b/>
          <w:bCs/>
        </w:rPr>
        <w:t xml:space="preserve">NOT</w:t>
      </w:r>
      <w:r>
        <w:t xml:space="preserve"> </w:t>
      </w:r>
      <w:r>
        <w:t xml:space="preserve">"tests pass" or "the binary compiles" — it is</w:t>
      </w:r>
      <w:r>
        <w:t xml:space="preserve"> </w:t>
      </w:r>
      <w:r>
        <w:rPr>
          <w:b/>
          <w:bCs/>
        </w:rPr>
        <w:t xml:space="preserve">"the end user of</w:t>
      </w:r>
      <w:r>
        <w:rPr>
          <w:b/>
          <w:bCs/>
        </w:rPr>
        <w:t xml:space="preserve"> </w:t>
      </w:r>
      <w:r>
        <w:rPr>
          <w:rStyle w:val="VerbatimChar"/>
          <w:b/>
          <w:bCs/>
        </w:rPr>
        <w:t xml:space="preserve">&lt;flavor&gt;herald</w:t>
      </w:r>
      <w:r>
        <w:rPr>
          <w:b/>
          <w:bCs/>
        </w:rPr>
        <w:t xml:space="preserve"> </w:t>
      </w:r>
      <w:r>
        <w:rPr>
          <w:b/>
          <w:bCs/>
        </w:rPr>
        <w:t xml:space="preserve">can actually use the feature."</w:t>
      </w:r>
    </w:p>
    <w:p>
      <w:pPr>
        <w:pStyle w:val="Compact"/>
        <w:numPr>
          <w:ilvl w:val="0"/>
          <w:numId w:val="1003"/>
        </w:numPr>
      </w:pPr>
      <w:r>
        <w:t xml:space="preserve">Every PASS — unit test, integration test, gate, Challenge, smoke test, e2e — MUST carry positive runtime evidence that the user-visible behaviour works. Metadata-only PASS, configuration-only PASS, "absence-of-error" PASS, and grep-only PASS without runtime evidence are §11.4 PASS-bluffs and constitute critical defects regardless of how green the summary line looks.</w:t>
      </w:r>
    </w:p>
    <w:p>
      <w:pPr>
        <w:pStyle w:val="Compact"/>
        <w:numPr>
          <w:ilvl w:val="0"/>
          <w:numId w:val="1003"/>
        </w:numPr>
      </w:pPr>
      <w:r>
        <w:t xml:space="preserve">Tests AND Challenges are bound</w:t>
      </w:r>
      <w:r>
        <w:t xml:space="preserve"> </w:t>
      </w:r>
      <w:r>
        <w:rPr>
          <w:b/>
          <w:bCs/>
        </w:rPr>
        <w:t xml:space="preserve">equally</w:t>
      </w:r>
      <w:r>
        <w:t xml:space="preserve">. A Challenge that scores PASS on a non-functional feature is the same class of defect as a unit test that does.</w:t>
      </w:r>
    </w:p>
    <w:p>
      <w:pPr>
        <w:pStyle w:val="Compact"/>
        <w:numPr>
          <w:ilvl w:val="0"/>
          <w:numId w:val="1003"/>
        </w:numPr>
      </w:pPr>
      <w:r>
        <w:t xml:space="preserve">The canonical Herald enforcement is</w:t>
      </w:r>
      <w:r>
        <w:t xml:space="preserve"> </w:t>
      </w:r>
      <w:r>
        <w:rPr>
          <w:rStyle w:val="VerbatimChar"/>
        </w:rPr>
        <w:t xml:space="preserve">scripts/e2e_bluff_hunt.sh</w:t>
      </w:r>
      <w:r>
        <w:t xml:space="preserve"> </w:t>
      </w:r>
      <w:r>
        <w:t xml:space="preserve">— it builds</w:t>
      </w:r>
      <w:r>
        <w:t xml:space="preserve"> </w:t>
      </w:r>
      <w:r>
        <w:rPr>
          <w:rStyle w:val="VerbatimChar"/>
        </w:rPr>
        <w:t xml:space="preserve">pherald</w:t>
      </w:r>
      <w:r>
        <w:t xml:space="preserve">, runs the full test suite, starts a real Gin server, hits every</w:t>
      </w:r>
      <w:r>
        <w:t xml:space="preserve"> </w:t>
      </w:r>
      <w:r>
        <w:rPr>
          <w:rStyle w:val="VerbatimChar"/>
        </w:rPr>
        <w:t xml:space="preserve">/v1/*</w:t>
      </w:r>
      <w:r>
        <w:t xml:space="preserve"> </w:t>
      </w:r>
      <w:r>
        <w:t xml:space="preserve">route, asserts response bodies, boots a real Postgres container via the</w:t>
      </w:r>
      <w:r>
        <w:t xml:space="preserve"> </w:t>
      </w:r>
      <w:r>
        <w:rPr>
          <w:rStyle w:val="VerbatimChar"/>
        </w:rPr>
        <w:t xml:space="preserve">containers/</w:t>
      </w:r>
      <w:r>
        <w:t xml:space="preserve"> </w:t>
      </w:r>
      <w:r>
        <w:t xml:space="preserve">submodule, runs the M2 integration tests against the live DB, and SIGTERM-graceful-shutdowns. A single FAIL invariant means a real feature is broken for end users; no release tag, no risky commit, and no "implementation milestone landed" claim may be made while it FAILs.</w:t>
      </w:r>
    </w:p>
    <w:p>
      <w:pPr>
        <w:pStyle w:val="Compact"/>
        <w:numPr>
          <w:ilvl w:val="0"/>
          <w:numId w:val="1003"/>
        </w:numPr>
      </w:pPr>
      <w:r>
        <w:t xml:space="preserve">New user-visible Herald features (V3 §§11, 33, 41, 42, 43 and beyond) MUST extend</w:t>
      </w:r>
      <w:r>
        <w:t xml:space="preserve"> </w:t>
      </w:r>
      <w:r>
        <w:rPr>
          <w:rStyle w:val="VerbatimChar"/>
        </w:rPr>
        <w:t xml:space="preserve">e2e_bluff_hunt.sh</w:t>
      </w:r>
      <w:r>
        <w:t xml:space="preserve"> </w:t>
      </w:r>
      <w:r>
        <w:t xml:space="preserve">with a new</w:t>
      </w:r>
      <w:r>
        <w:t xml:space="preserve"> </w:t>
      </w:r>
      <w:r>
        <w:rPr>
          <w:rStyle w:val="VerbatimChar"/>
        </w:rPr>
        <w:t xml:space="preserve">E_N</w:t>
      </w:r>
      <w:r>
        <w:t xml:space="preserve"> </w:t>
      </w:r>
      <w:r>
        <w:t xml:space="preserve">invariant in the same logical work effort — a feature that ships without its e2e invariant is shipping without anti-bluff evidence and violates §107.</w:t>
      </w:r>
    </w:p>
    <w:p>
      <w:pPr>
        <w:pStyle w:val="FirstParagraph"/>
      </w:pPr>
      <w:r>
        <w:rPr>
          <w:b/>
          <w:bCs/>
        </w:rPr>
        <w:t xml:space="preserve">Propagation.</w:t>
      </w:r>
      <w:r>
        <w:t xml:space="preserve"> </w:t>
      </w:r>
      <w:r>
        <w:t xml:space="preserve">This §107 is restated verbatim (in summary form, citing this section as the canonical Herald source)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rStyle w:val="VerbatimChar"/>
        </w:rPr>
        <w:t xml:space="preserve">I8a–c</w:t>
      </w:r>
      <w:r>
        <w:t xml:space="preserve"> </w:t>
      </w:r>
      <w:r>
        <w:t xml:space="preserve">asserts the anchor literal (</w:t>
      </w:r>
      <w:r>
        <w:rPr>
          <w:rStyle w:val="VerbatimChar"/>
        </w:rPr>
        <w:t xml:space="preserve">End-user-usability covenant</w:t>
      </w:r>
      <w:r>
        <w:t xml:space="preserve"> </w:t>
      </w:r>
      <w:r>
        <w:t xml:space="preserve">or the verbatim "all tests do execute with success" operator quote) is present in all three files; a missing copy is a propagation bluff and the gate FAILs.</w:t>
      </w:r>
    </w:p>
    <w:p>
      <w:pPr>
        <w:pStyle w:val="BodyText"/>
      </w:pPr>
      <w:r>
        <w:rPr>
          <w:b/>
          <w:bCs/>
        </w:rPr>
        <w:t xml:space="preserve">Paired §1.1 mutation.</w:t>
      </w:r>
      <w:r>
        <w:t xml:space="preserve"> </w:t>
      </w:r>
      <w:r>
        <w:t xml:space="preserve">A future generalised mutation-meta will assert that removing the §107 anchor from any of the three propagation files MUST cause</w:t>
      </w:r>
      <w:r>
        <w:t xml:space="preserve"> </w:t>
      </w:r>
      <w:r>
        <w:rPr>
          <w:rStyle w:val="VerbatimChar"/>
        </w:rPr>
        <w:t xml:space="preserve">I8a/b/c</w:t>
      </w:r>
      <w:r>
        <w:t xml:space="preserve"> </w:t>
      </w:r>
      <w:r>
        <w:t xml:space="preserve">to FAIL — the §1.1 paired-mutation discipline is non-negotiable for every new gate.</w:t>
      </w:r>
    </w:p>
    <w:p>
      <w:pPr>
        <w:pStyle w:val="BodyText"/>
      </w:pPr>
      <w:r>
        <w:rPr>
          <w:b/>
          <w:bCs/>
        </w:rPr>
        <w:t xml:space="preserve">Non-compliance is a release blocker.</w:t>
      </w:r>
      <w:r>
        <w:t xml:space="preserve"> </w:t>
      </w:r>
      <w:r>
        <w:t xml:space="preserve">No flavor binary may be tagged, no submodule may be propagated, and no operator-handoff (</w:t>
      </w:r>
      <w:r>
        <w:rPr>
          <w:rStyle w:val="VerbatimChar"/>
        </w:rPr>
        <w:t xml:space="preserve">docs/CONTINUATION.md</w:t>
      </w:r>
      <w:r>
        <w:t xml:space="preserve">) may be published while a §107 evidence-gap is open.</w:t>
      </w:r>
    </w:p>
    <w:p>
      <w:r>
        <w:pict>
          <v:rect style="width:0;height:1.5pt" o:hralign="center" o:hrstd="t" o:hr="t"/>
        </w:pict>
      </w:r>
    </w:p>
    <w:bookmarkEnd w:id="17"/>
    <w:bookmarkEnd w:id="18"/>
    <w:bookmarkStart w:id="19" w:name="overrides-of-universal-constitution"/>
    <w:p>
      <w:pPr>
        <w:pStyle w:val="Heading2"/>
      </w:pPr>
      <w:r>
        <w:t xml:space="preserve">Overrides of Universal Constitution</w:t>
      </w:r>
    </w:p>
    <w:p>
      <w:pPr>
        <w:pStyle w:val="FirstParagraph"/>
      </w:pPr>
      <w:r>
        <w:t xml:space="preserve">(none — Herald has no exceptions to universal clauses at pre-implementation stage)</w:t>
      </w:r>
    </w:p>
    <w:p>
      <w:r>
        <w:pict>
          <v:rect style="width:0;height:1.5pt" o:hralign="center" o:hrstd="t" o:hr="t"/>
        </w:pict>
      </w:r>
    </w:p>
    <w:bookmarkEnd w:id="19"/>
    <w:bookmarkStart w:id="20" w:name="owned-submodule-set-per-universal-4"/>
    <w:p>
      <w:pPr>
        <w:pStyle w:val="Heading2"/>
      </w:pPr>
      <w:r>
        <w:t xml:space="preserve">Owned-submodule set (per Universal §4)</w:t>
      </w:r>
    </w:p>
    <w:p>
      <w:pPr>
        <w:pStyle w:val="SourceCode"/>
      </w:pPr>
      <w:r>
        <w:rPr>
          <w:rStyle w:val="VerbatimChar"/>
        </w:rPr>
        <w:t xml:space="preserve">submodules/auth          → git@github.com:vasic-digital/auth.git</w:t>
      </w:r>
      <w:r>
        <w:br/>
      </w:r>
      <w:r>
        <w:rPr>
          <w:rStyle w:val="VerbatimChar"/>
        </w:rPr>
        <w:t xml:space="preserve">submodules/background    → git@github.com:vasic-digital/BackgroundTasks.git</w:t>
      </w:r>
      <w:r>
        <w:br/>
      </w:r>
      <w:r>
        <w:rPr>
          <w:rStyle w:val="VerbatimChar"/>
        </w:rPr>
        <w:t xml:space="preserve">submodules/cache         → git@github.com:vasic-digital/cache.git</w:t>
      </w:r>
      <w:r>
        <w:br/>
      </w:r>
      <w:r>
        <w:rPr>
          <w:rStyle w:val="VerbatimChar"/>
        </w:rPr>
        <w:t xml:space="preserve">submodules/config        → git@github.com:vasic-digital/config.git</w:t>
      </w:r>
      <w:r>
        <w:br/>
      </w:r>
      <w:r>
        <w:rPr>
          <w:rStyle w:val="VerbatimChar"/>
        </w:rPr>
        <w:t xml:space="preserve">submodules/database      → git@github.com:vasic-digital/database.git</w:t>
      </w:r>
      <w:r>
        <w:br/>
      </w:r>
      <w:r>
        <w:rPr>
          <w:rStyle w:val="VerbatimChar"/>
        </w:rPr>
        <w:t xml:space="preserve">submodules/eventbus      → git@github.com:vasic-digital/EventBus.git</w:t>
      </w:r>
      <w:r>
        <w:br/>
      </w:r>
      <w:r>
        <w:rPr>
          <w:rStyle w:val="VerbatimChar"/>
        </w:rPr>
        <w:t xml:space="preserve">submodules/middleware    → git@github.com:vasic-digital/middleware.git</w:t>
      </w:r>
      <w:r>
        <w:br/>
      </w:r>
      <w:r>
        <w:rPr>
          <w:rStyle w:val="VerbatimChar"/>
        </w:rPr>
        <w:t xml:space="preserve">submodules/observability → git@github.com:vasic-digital/observability.git</w:t>
      </w:r>
      <w:r>
        <w:br/>
      </w:r>
      <w:r>
        <w:rPr>
          <w:rStyle w:val="VerbatimChar"/>
        </w:rPr>
        <w:t xml:space="preserve">submodules/recovery      → git@github.com:vasic-digital/recovery.git</w:t>
      </w:r>
      <w:r>
        <w:br/>
      </w:r>
      <w:r>
        <w:rPr>
          <w:rStyle w:val="VerbatimChar"/>
        </w:rPr>
        <w:t xml:space="preserve">containers               → git@github.com:vasic-digital/containers.git</w:t>
      </w:r>
    </w:p>
    <w:p>
      <w:pPr>
        <w:pStyle w:val="FirstParagraph"/>
      </w:pPr>
      <w:r>
        <w:t xml:space="preserve">Herald owns 10 vendored submodules — 9 Helix-stack capability modules under</w:t>
      </w:r>
      <w:r>
        <w:t xml:space="preserve"> </w:t>
      </w:r>
      <w:r>
        <w:rPr>
          <w:rStyle w:val="VerbatimChar"/>
        </w:rPr>
        <w:t xml:space="preserve">submodules/</w:t>
      </w:r>
      <w:r>
        <w:t xml:space="preserve"> </w:t>
      </w:r>
      <w:r>
        <w:t xml:space="preserve">(referenced via</w:t>
      </w:r>
      <w:r>
        <w:t xml:space="preserve"> </w:t>
      </w:r>
      <w:r>
        <w:rPr>
          <w:rStyle w:val="VerbatimChar"/>
        </w:rPr>
        <w:t xml:space="preserve">replace</w:t>
      </w:r>
      <w:r>
        <w:t xml:space="preserve"> </w:t>
      </w:r>
      <w:r>
        <w:t xml:space="preserve">directives in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plus</w:t>
      </w:r>
      <w:r>
        <w:t xml:space="preserve"> </w:t>
      </w:r>
      <w:r>
        <w:rPr>
          <w:rStyle w:val="VerbatimChar"/>
        </w:rPr>
        <w:t xml:space="preserve">containers/</w:t>
      </w:r>
      <w:r>
        <w:t xml:space="preserve"> </w:t>
      </w:r>
      <w:r>
        <w:t xml:space="preserve">(runtime auto-detection + on-demand container boot, consumed directly by Foundation tests +</w:t>
      </w:r>
      <w:r>
        <w:t xml:space="preserve"> </w:t>
      </w:r>
      <w:r>
        <w:rPr>
          <w:rStyle w:val="VerbatimChar"/>
        </w:rPr>
        <w:t xml:space="preserve">pherald doctor</w:t>
      </w:r>
      <w:r>
        <w:t xml:space="preserve">). Every one of them carries the §11.4 anti-bluff anchor; per Universal §11.4.74 they are catalogue-aware (</w:t>
      </w:r>
      <w:r>
        <w:rPr>
          <w:rStyle w:val="VerbatimChar"/>
        </w:rPr>
        <w:t xml:space="preserve">extend|reuse|no-match</w:t>
      </w:r>
      <w:r>
        <w:t xml:space="preserve"> </w:t>
      </w:r>
      <w:r>
        <w:t xml:space="preserve">discipline). The constitution itself is provided by the parent project, not vendored here — Herald never carries</w:t>
      </w:r>
      <w:r>
        <w:t xml:space="preserve"> </w:t>
      </w:r>
      <w:r>
        <w:rPr>
          <w:rStyle w:val="VerbatimChar"/>
        </w:rPr>
        <w:t xml:space="preserve">constitution/</w:t>
      </w:r>
      <w:r>
        <w:t xml:space="preserve"> </w:t>
      </w:r>
      <w:r>
        <w:t xml:space="preserve">(per §104).</w:t>
      </w:r>
    </w:p>
    <w:p>
      <w:r>
        <w:pict>
          <v:rect style="width:0;height:1.5pt" o:hralign="center" o:hrstd="t" o:hr="t"/>
        </w:pict>
      </w:r>
    </w:p>
    <w:bookmarkEnd w:id="20"/>
    <w:bookmarkStart w:id="21" w:name="project-specific-remotes"/>
    <w:p>
      <w:pPr>
        <w:pStyle w:val="Heading2"/>
      </w:pPr>
      <w:r>
        <w:t xml:space="preserve">Project-specific remotes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Remotes</w:t>
            </w:r>
          </w:p>
        </w:tc>
      </w:tr>
      <w:tr>
        <w:tc>
          <w:tcPr/>
          <w:p>
            <w:pPr>
              <w:pStyle w:val="Compact"/>
            </w:pPr>
            <w:r>
              <w:t xml:space="preserve">Herald (this repo)</w:t>
            </w:r>
          </w:p>
        </w:tc>
        <w:tc>
          <w:tcPr/>
          <w:p>
            <w:pPr>
              <w:pStyle w:val="Compact"/>
            </w:pP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 </w:t>
            </w:r>
            <w:r>
              <w:t xml:space="preserve">+</w:t>
            </w:r>
            <w:r>
              <w:t xml:space="preserve"> </w:t>
            </w:r>
            <w:r>
              <w:rPr>
                <w:rStyle w:val="VerbatimChar"/>
              </w:rPr>
              <w:t xml:space="preserve">origin</w:t>
            </w:r>
            <w:r>
              <w:t xml:space="preserve"> </w:t>
            </w:r>
            <w:r>
              <w:t xml:space="preserve">(fan-out push to all four)</w:t>
            </w:r>
          </w:p>
        </w:tc>
      </w:tr>
    </w:tbl>
    <w:p>
      <w:r>
        <w:pict>
          <v:rect style="width:0;height:1.5pt" o:hralign="center" o:hrstd="t" o:hr="t"/>
        </w:pict>
      </w:r>
    </w:p>
    <w:bookmarkEnd w:id="21"/>
    <w:bookmarkStart w:id="22" w:name="notes"/>
    <w:p>
      <w:pPr>
        <w:pStyle w:val="Heading2"/>
      </w:pPr>
      <w:r>
        <w:t xml:space="preserve">Notes</w:t>
      </w:r>
    </w:p>
    <w:p>
      <w:pPr>
        <w:pStyle w:val="FirstParagraph"/>
      </w:pPr>
      <w:r>
        <w:t xml:space="preserve">Herald's spec is now in V3 (</w:t>
      </w:r>
      <w:r>
        <w:rPr>
          <w:rStyle w:val="VerbatimChar"/>
        </w:rPr>
        <w:t xml:space="preserve">docs/specs/mvp/specification.V3.md</w:t>
      </w:r>
      <w:r>
        <w:t xml:space="preserve">, ~3900 lines, active) — V1 and V2 are preserved under</w:t>
      </w:r>
      <w:r>
        <w:t xml:space="preserve"> </w:t>
      </w:r>
      <w:r>
        <w:rPr>
          <w:rStyle w:val="VerbatimChar"/>
        </w:rPr>
        <w:t xml:space="preserve">docs/specs/mvp/archive/</w:t>
      </w:r>
      <w:r>
        <w:t xml:space="preserve"> </w:t>
      </w:r>
      <w:r>
        <w:t xml:space="preserve">for historical reference. As project-specific articles mature toward universal status they may move into the Helix Constitution; promotion requires the §11.4 universal-vs-project audit. Default is to keep rules here until the audit clears.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2026-05-22T09:18:36Z</dcterms:created>
  <dcterms:modified xsi:type="dcterms:W3CDTF">2026-05-22T09:18:36Z</dcterms:modified>
</cp:coreProperties>
</file>

<file path=docProps/custom.xml><?xml version="1.0" encoding="utf-8"?>
<Properties xmlns="http://schemas.openxmlformats.org/officeDocument/2006/custom-properties" xmlns:vt="http://schemas.openxmlformats.org/officeDocument/2006/docPropsVTypes"/>
</file>