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8"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20</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r20: refreshed the stale "first-implementation cycle r1 (2026-05-20) / Go-scaffold landed" project-status prose to current reality —</w:t>
            </w:r>
            <w:r>
              <w:rPr>
                <w:b/>
                <w:bCs/>
              </w:rPr>
              <w:t xml:space="preserve"> </w:t>
            </w:r>
            <w:r>
              <w:rPr>
                <w:b/>
                <w:b/>
                <w:bCs/>
                <w:bCs/>
              </w:rPr>
              <w:t xml:space="preserve">18</w:t>
            </w:r>
            <w:r>
              <w:rPr>
                <w:b/>
                <w:bCs/>
              </w:rPr>
              <w:t xml:space="preserve"> </w:t>
            </w:r>
            <w:r>
              <w:rPr>
                <w:b/>
                <w:bCs/>
              </w:rPr>
              <w:t xml:space="preserve">workspace modules, waves 2–7 shipped, tag</w:t>
            </w:r>
            <w:r>
              <w:rPr>
                <w:b/>
                <w:bCs/>
              </w:rPr>
              <w:t xml:space="preserve"> </w:t>
            </w:r>
            <w:r>
              <w:rPr>
                <w:b/>
                <w:b/>
                <w:bCs/>
                <w:bCs/>
              </w:rPr>
              <w:t xml:space="preserve">v0.6.0</w:t>
            </w:r>
            <w:r>
              <w:rPr>
                <w:b/>
                <w:bCs/>
              </w:rPr>
              <w:t xml:space="preserve"> </w:t>
            </w:r>
            <w:r>
              <w:rPr>
                <w:b/>
                <w:bCs/>
              </w:rPr>
              <w:t xml:space="preserve">(2026-05-28), live</w:t>
            </w:r>
            <w:r>
              <w:rPr>
                <w:b/>
                <w:bCs/>
              </w:rPr>
              <w:t xml:space="preserve"> </w:t>
            </w:r>
            <w:r>
              <w:rPr>
                <w:rStyle w:val="VerbatimChar"/>
                <w:b/>
                <w:bCs/>
              </w:rPr>
              <w:t xml:space="preserve">pherald listen</w:t>
            </w:r>
            <w:r>
              <w:rPr>
                <w:b/>
                <w:bCs/>
              </w:rPr>
              <w:t xml:space="preserve"> </w:t>
            </w:r>
            <w:r>
              <w:rPr>
                <w:b/>
                <w:bCs/>
              </w:rPr>
              <w:t xml:space="preserve">+ Claude Code dispatch + Telegram &amp; Slack adapters + REST API + participant-attribution (§11.4.104) + intent-recognition (§11.4.105) + Docs Chain (§11.4.106); HRD-010/011/012/016 now LIVE; ~a-dozen open HRDs remain. Status prose ONLY — covenant/build/anti-bluff/inheritance content unchanged (merged a parallel stream's project-status prose onto main's r19 §11.4.106 header). Prior r19: propagated HelixConstitution §11.4.106 (Docs Chain documentation-sync mandate, 2026-05-29) into the inherited-covenant cluster as a short-form restatement citing the literal anchor</w:t>
            </w:r>
            <w:r>
              <w:rPr>
                <w:b/>
                <w:bCs/>
              </w:rPr>
              <w:t xml:space="preserve"> </w:t>
            </w:r>
            <w:r>
              <w:rPr>
                <w:rStyle w:val="VerbatimChar"/>
                <w:b/>
                <w:bCs/>
              </w:rPr>
              <w:t xml:space="preserve">11.4.106</w:t>
            </w:r>
            <w:r>
              <w:rPr>
                <w:b/>
                <w:bCs/>
              </w:rPr>
              <w:t xml:space="preserve">, inherited per §11.4.35. Herald-applicability classification: APPLICABLE (integration in progress) — Docs Chain mechanizes Herald's ~76-doc html/pdf/docx sibling sync (today regen-all</w:t>
            </w:r>
            <w:r>
              <w:rPr>
                <w:b/>
                <w:bCs/>
              </w:rPr>
              <w:t xml:space="preserve"> </w:t>
            </w:r>
            <w:r>
              <w:rPr>
                <w:rStyle w:val="VerbatimChar"/>
                <w:b/>
                <w:bCs/>
              </w:rPr>
              <w:t xml:space="preserve">scripts/export_docs.sh</w:t>
            </w:r>
            <w:r>
              <w:rPr>
                <w:b/>
                <w:bCs/>
              </w:rPr>
              <w:t xml:space="preserve">) via</w:t>
            </w:r>
            <w:r>
              <w:rPr>
                <w:b/>
                <w:bCs/>
              </w:rPr>
              <w:t xml:space="preserve"> </w:t>
            </w:r>
            <w:r>
              <w:rPr>
                <w:rStyle w:val="VerbatimChar"/>
                <w:b/>
                <w:bCs/>
              </w:rPr>
              <w:t xml:space="preserve">exec:</w:t>
            </w:r>
            <w:r>
              <w:rPr>
                <w:b/>
                <w:bCs/>
              </w:rPr>
              <w:t xml:space="preserve"> </w:t>
            </w:r>
            <w:r>
              <w:rPr>
                <w:b/>
                <w:bCs/>
              </w:rPr>
              <w:t xml:space="preserve">transforms preserving Herald's exact logo-CSS pandoc flags; cites the migration plan</w:t>
            </w:r>
            <w:r>
              <w:rPr>
                <w:b/>
                <w:bCs/>
              </w:rPr>
              <w:t xml:space="preserve"> </w:t>
            </w:r>
            <w:r>
              <w:rPr>
                <w:rStyle w:val="VerbatimChar"/>
                <w:b/>
                <w:bCs/>
              </w:rPr>
              <w:t xml:space="preserve">docs/research/docs_chain/HERALD_DOCS_CHAIN_PLAN.md</w:t>
            </w:r>
            <w:r>
              <w:rPr>
                <w:b/>
                <w:bCs/>
              </w:rPr>
              <w:t xml:space="preserve">, the planned</w:t>
            </w:r>
            <w:r>
              <w:rPr>
                <w:b/>
                <w:bCs/>
              </w:rPr>
              <w:t xml:space="preserve"> </w:t>
            </w:r>
            <w:r>
              <w:rPr>
                <w:rStyle w:val="VerbatimChar"/>
                <w:b/>
                <w:bCs/>
              </w:rPr>
              <w:t xml:space="preserve">verify</w:t>
            </w:r>
            <w:r>
              <w:rPr>
                <w:b/>
                <w:bCs/>
              </w:rPr>
              <w:t xml:space="preserve"> </w:t>
            </w:r>
            <w:r>
              <w:rPr>
                <w:b/>
                <w:bCs/>
              </w:rPr>
              <w:t xml:space="preserve">drift-gate E146, and the honest open prerequisites (Phase-4 CLI landed 2026-05-31; exec-staging relative-asset gap G6; binary-hash</w:t>
            </w:r>
            <w:r>
              <w:rPr>
                <w:b/>
                <w:bCs/>
              </w:rPr>
              <w:t xml:space="preserve"> </w:t>
            </w:r>
            <w:r>
              <w:rPr>
                <w:rStyle w:val="VerbatimChar"/>
                <w:b/>
                <w:bCs/>
              </w:rPr>
              <w:t xml:space="preserve">verify</w:t>
            </w:r>
            <w:r>
              <w:rPr>
                <w:b/>
                <w:bCs/>
              </w:rPr>
              <w:t xml:space="preserve"> </w:t>
            </w:r>
            <w:r>
              <w:rPr>
                <w:b/>
                <w:bCs/>
              </w:rPr>
              <w:t xml:space="preserve">defect found by dogfooding, fix in flight). Restated + cited, not redefined; anchor now present in CLAUDE.md/AGENTS.md/QWEN.md/HERALD_CONSTITUTION.md §108.p. Prior r18: propagated the intent-recognition mandate (operator 2026-05-31) as a short-form restatement — new "Intent recognition &amp; clarification" section + ToC entry — citing the authoritative contract</w:t>
            </w:r>
            <w:r>
              <w:rPr>
                <w:b/>
                <w:bCs/>
              </w:rPr>
              <w:t xml:space="preserve"> </w:t>
            </w:r>
            <w:r>
              <w:rPr>
                <w:rStyle w:val="VerbatimChar"/>
                <w:b/>
                <w:bCs/>
              </w:rPr>
              <w:t xml:space="preserve">docs/design/INTENT_RECOGNITION.md</w:t>
            </w:r>
            <w:r>
              <w:rPr>
                <w:b/>
                <w:bCs/>
              </w:rPr>
              <w:t xml:space="preserve"> </w:t>
            </w:r>
            <w:r>
              <w:rPr>
                <w:b/>
                <w:bCs/>
              </w:rPr>
              <w:t xml:space="preserve">and noting inheritance from HelixConstitution §11.4.105 (the root-§ being added on the constitution stream), inherited per §11.4.35. Covers: subscribers speak plain natural language (NO command syntax, no</w:t>
            </w:r>
            <w:r>
              <w:rPr>
                <w:b/>
                <w:bCs/>
              </w:rPr>
              <w:t xml:space="preserve"> </w:t>
            </w:r>
            <w:r>
              <w:rPr>
                <w:rStyle w:val="VerbatimChar"/>
                <w:b/>
                <w:bCs/>
              </w:rPr>
              <w:t xml:space="preserve">COMMAND:</w:t>
            </w:r>
            <w:r>
              <w:rPr>
                <w:b/>
                <w:bCs/>
              </w:rPr>
              <w:t xml:space="preserve"> </w:t>
            </w:r>
            <w:r>
              <w:rPr>
                <w:b/>
                <w:bCs/>
              </w:rPr>
              <w:t xml:space="preserve">prefix); three-tier resolution (Tier 1 deterministic CommandRecognizer fast-path → Tier 2 LLM intent inference via the</w:t>
            </w:r>
            <w:r>
              <w:rPr>
                <w:b/>
                <w:bCs/>
              </w:rPr>
              <w:t xml:space="preserve"> </w:t>
            </w:r>
            <w:r>
              <w:rPr>
                <w:rStyle w:val="VerbatimChar"/>
                <w:b/>
                <w:bCs/>
              </w:rPr>
              <w:t xml:space="preserve">&lt;&lt;&lt;HERALD-DISPATCH-v1&gt;&gt;&gt;</w:t>
            </w:r>
            <w:r>
              <w:rPr>
                <w:b/>
                <w:bCs/>
              </w:rPr>
              <w:t xml:space="preserve"> </w:t>
            </w:r>
            <w:r>
              <w:rPr>
                <w:b/>
                <w:bCs/>
              </w:rPr>
              <w:t xml:space="preserve">envelope → Tier 3</w:t>
            </w:r>
            <w:r>
              <w:rPr>
                <w:b/>
                <w:bCs/>
              </w:rPr>
              <w:t xml:space="preserve"> </w:t>
            </w:r>
            <w:r>
              <w:rPr>
                <w:rStyle w:val="VerbatimChar"/>
                <w:b/>
                <w:bCs/>
              </w:rPr>
              <w:t xml:space="preserve">action="clarify"</w:t>
            </w:r>
            <w:r>
              <w:rPr>
                <w:b/>
                <w:bCs/>
              </w:rPr>
              <w:t xml:space="preserve"> </w:t>
            </w:r>
            <w:r>
              <w:rPr>
                <w:b/>
                <w:bCs/>
              </w:rPr>
              <w:t xml:space="preserve">reply-tag-and-ask fallback via the §11.4.104 IdentityResolver); never guess an action, never ignore a message. Restated + cited, not redefined.</w:t>
            </w:r>
            <w:r>
              <w:t xml:space="preserve"> </w:t>
            </w:r>
            <w:r>
              <w:t xml:space="preserve">Prior r17: propagated the participant/attribution/tagging mandate (operator 2026-05-31)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docs/specs/mvp/specification.V4.md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active multi-wave implementation</w:t>
      </w:r>
      <w:r>
        <w:t xml:space="preserve"> </w:t>
      </w:r>
      <w:r>
        <w:t xml:space="preserve">as of 2026-05-31 — well past the original first-implementation scaffold (r1, 2026-05-20). Waves 2 through 7 have shipped; the latest tag is</w:t>
      </w:r>
      <w:r>
        <w:t xml:space="preserve"> </w:t>
      </w:r>
      <w:r>
        <w:rPr>
          <w:b/>
          <w:bCs/>
        </w:rPr>
        <w:t xml:space="preserve">v0.6.0</w:t>
      </w:r>
      <w:r>
        <w:t xml:space="preserve"> </w:t>
      </w:r>
      <w:r>
        <w:t xml:space="preserve">(2026-05-28); the live</w:t>
      </w:r>
      <w:r>
        <w:t xml:space="preserve"> </w:t>
      </w:r>
      <w:r>
        <w:rPr>
          <w:rStyle w:val="VerbatimChar"/>
        </w:rPr>
        <w:t xml:space="preserve">pherald listen</w:t>
      </w:r>
      <w:r>
        <w:t xml:space="preserve"> </w:t>
      </w:r>
      <w:r>
        <w:t xml:space="preserve">inbound runtime, Claude Code dispatch, Telegram + Slack channel adapters, participant-attribution (§11.4.104), natural-language intent-recognition (§11.4.105), and the Docs Chain documentation-sync mandate (§11.4.106) are all landed. Roughly a dozen HRDs remain open in</w:t>
      </w:r>
      <w:r>
        <w:t xml:space="preserve"> </w:t>
      </w:r>
      <w:r>
        <w:rPr>
          <w:rStyle w:val="VerbatimChar"/>
        </w:rPr>
        <w:t xml:space="preserve">docs/Issues.md</w:t>
      </w:r>
      <w:r>
        <w:t xml:space="preserve"> </w:t>
      </w:r>
      <w:r>
        <w:t xml:space="preserve">(evidence-gated live-integration + later-iteration channels); the bulk of the catalogue migrated to</w:t>
      </w:r>
      <w:r>
        <w:t xml:space="preserve"> </w:t>
      </w:r>
      <w:r>
        <w:rPr>
          <w:rStyle w:val="VerbatimChar"/>
        </w:rPr>
        <w:t xml:space="preserve">Fixed.md</w:t>
      </w:r>
      <w:r>
        <w:t xml:space="preserve"> </w:t>
      </w:r>
      <w:r>
        <w:t xml:space="preserve">in the v1.0.0 closure sweep.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docs/specs/mvp/specification.V4.md</w:t>
      </w:r>
      <w:r>
        <w:t xml:space="preserve"> </w:t>
      </w:r>
      <w:r>
        <w:t xml:space="preserve">— MVP spec (participant-attribution §11.4.104 + intent-recognition §11.4.105 incorporated; the prior V-series archived under</w:t>
      </w:r>
      <w:r>
        <w:t xml:space="preserve"> </w:t>
      </w:r>
      <w:r>
        <w:rPr>
          <w:rStyle w:val="VerbatimChar"/>
        </w:rPr>
        <w:t xml:space="preserve">docs/specs/mvp/archive/</w:t>
      </w:r>
      <w:r>
        <w:t xml:space="preserve">).</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2026-05-31</w:t>
      </w:r>
      <w:r>
        <w:t xml:space="preserve"> </w:t>
      </w:r>
      <w:r>
        <w:t xml:space="preserve">the codebase spans</w:t>
      </w:r>
      <w:r>
        <w:t xml:space="preserve"> </w:t>
      </w:r>
      <w:r>
        <w:rPr>
          <w:b/>
          <w:bCs/>
        </w:rPr>
        <w:t xml:space="preserve">18</w:t>
      </w:r>
      <w:r>
        <w:t xml:space="preserve"> </w:t>
      </w:r>
      <w:r>
        <w:t xml:space="preserve">Go workspace modules (10 shared/foundation + 8 flavor binaries) with the inbound runtime, channel adapters, and storage all live. Representative components: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(live</w:t>
      </w:r>
      <w:r>
        <w:t xml:space="preserve"> </w:t>
      </w:r>
      <w:r>
        <w:rPr>
          <w:rStyle w:val="VerbatimChar"/>
        </w:rPr>
        <w:t xml:space="preserve">getUpdates</w:t>
      </w:r>
      <w:r>
        <w:t xml:space="preserve"> </w:t>
      </w:r>
      <w:r>
        <w:t xml:space="preserve">long-poll + send + reply +</w:t>
      </w:r>
      <w:r>
        <w:t xml:space="preserve"> </w:t>
      </w:r>
      <w:r>
        <w:rPr>
          <w:rStyle w:val="VerbatimChar"/>
        </w:rPr>
        <w:t xml:space="preserve">@</w:t>
      </w:r>
      <w:r>
        <w:t xml:space="preserve">-mention render; drives</w:t>
      </w:r>
      <w:r>
        <w:t xml:space="preserve"> </w:t>
      </w:r>
      <w:r>
        <w:rPr>
          <w:rStyle w:val="VerbatimChar"/>
        </w:rPr>
        <w:t xml:space="preserve">pherald listen</w:t>
      </w:r>
      <w:r>
        <w:t xml:space="preserve">).</w:t>
      </w:r>
    </w:p>
    <w:p>
      <w:pPr>
        <w:pStyle w:val="Compact"/>
        <w:numPr>
          <w:ilvl w:val="0"/>
          <w:numId w:val="1004"/>
        </w:numPr>
      </w:pPr>
      <w:r>
        <w:rPr>
          <w:rStyle w:val="VerbatimChar"/>
        </w:rPr>
        <w:t xml:space="preserve">commons_messaging/channels/slack/</w:t>
      </w:r>
      <w:r>
        <w:t xml:space="preserve"> </w:t>
      </w:r>
      <w:r>
        <w:t xml:space="preserve">— Slack adapter (Wave 7 multi-channel generalization).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w:t>
      </w:r>
      <w:r>
        <w:t xml:space="preserve"> </w:t>
      </w:r>
      <w:r>
        <w:t xml:space="preserve">invocation wired with Opus pinned and per-message timeout bound (HRD-146).</w:t>
      </w:r>
    </w:p>
    <w:p>
      <w:pPr>
        <w:pStyle w:val="Compact"/>
        <w:numPr>
          <w:ilvl w:val="0"/>
          <w:numId w:val="1004"/>
        </w:numPr>
      </w:pPr>
      <w:r>
        <w:rPr>
          <w:rStyle w:val="VerbatimChar"/>
        </w:rPr>
        <w:t xml:space="preserve">commons_storage/</w:t>
      </w:r>
      <w:r>
        <w:t xml:space="preserve"> </w:t>
      </w:r>
      <w:r>
        <w:t xml:space="preserve">— SQL migrations embedded via</w:t>
      </w:r>
      <w:r>
        <w:t xml:space="preserve"> </w:t>
      </w:r>
      <w:r>
        <w:rPr>
          <w:rStyle w:val="VerbatimChar"/>
        </w:rPr>
        <w:t xml:space="preserve">//go:embed</w:t>
      </w:r>
      <w:r>
        <w:t xml:space="preserve">; pgx + River + Redis wiring live.</w:t>
      </w:r>
    </w:p>
    <w:p>
      <w:pPr>
        <w:pStyle w:val="Compact"/>
        <w:numPr>
          <w:ilvl w:val="0"/>
          <w:numId w:val="1004"/>
        </w:numPr>
      </w:pPr>
      <w:r>
        <w:rPr>
          <w:rStyle w:val="VerbatimChar"/>
        </w:rPr>
        <w:t xml:space="preserve">commons_workable/</w:t>
      </w:r>
      <w:r>
        <w:t xml:space="preserve"> </w:t>
      </w:r>
      <w:r>
        <w:t xml:space="preserve">+</w:t>
      </w:r>
      <w:r>
        <w:t xml:space="preserve"> </w:t>
      </w:r>
      <w:r>
        <w:rPr>
          <w:rStyle w:val="VerbatimChar"/>
        </w:rPr>
        <w:t xml:space="preserve">commons_watch/</w:t>
      </w:r>
      <w:r>
        <w:t xml:space="preserve"> </w:t>
      </w:r>
      <w:r>
        <w:t xml:space="preserve">— workable-items SQLite SSoT store + per-property change-feed + fsnotify/WAL-poll watcher (the ATMOSphere integration substrate).</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w:t>
      </w:r>
      <w:r>
        <w:t xml:space="preserve"> </w:t>
      </w:r>
      <w:r>
        <w:rPr>
          <w:rStyle w:val="VerbatimChar"/>
        </w:rPr>
        <w:t xml:space="preserve">pherald listen</w:t>
      </w:r>
      <w:r>
        <w:t xml:space="preserve"> </w:t>
      </w:r>
      <w:r>
        <w:t xml:space="preserve">(inbound runtime),</w:t>
      </w:r>
      <w:r>
        <w:t xml:space="preserve"> </w:t>
      </w:r>
      <w:r>
        <w:rPr>
          <w:rStyle w:val="VerbatimChar"/>
        </w:rPr>
        <w:t xml:space="preserve">pherald watch</w:t>
      </w:r>
      <w:r>
        <w:t xml:space="preserve"> </w:t>
      </w:r>
      <w:r>
        <w:t xml:space="preserve">(workable-items daemon), and the §43 command catalogue all wired end-to-end.</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4" w:name="X51a03705041253741c9434580a22d24bb00c340"/>
    <w:p>
      <w:pPr>
        <w:pStyle w:val="Heading2"/>
      </w:pPr>
      <w:r>
        <w:t xml:space="preserve">Inherited covenant restatements — Helix §11.4.85 / §11.4.87 / §11.4.88 / §11.4.89 / §11.4.90 / §11.4.91 / §11.4.92 / §11.4.93 / §11.4.94 / §11.4.95 / §11.4.96 / §11.4.97 / §11.4.98 / §11.4.99 / §11.4.100 / §11.4.106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Start w:id="33" w:name="X48159e79f8ee5591c5fb95b389835eff61059b0"/>
    <w:p>
      <w:pPr>
        <w:pStyle w:val="Heading3"/>
      </w:pPr>
      <w:r>
        <w:t xml:space="preserve">§11.4.106 — Docs Chain documentation-sync mandate — derived doc artefacts MUST be kept in sync via the shared Docs Chain engine, never ad-hoc (Helix, 2026-05-29)</w:t>
      </w:r>
    </w:p>
    <w:p>
      <w:pPr>
        <w:pStyle w:val="FirstParagraph"/>
      </w:pPr>
      <w:r>
        <w:t xml:space="preserve">Universal mandate: the documentation-sync obligations (Issues_Summary parity §11.4.12, Fixed_Summary §11.4.53, Status/Status_Summary §11.4.45/§11.4.56, README doc-link + always-sync export §11.4.57/§11.4.59, universal markdown→html/pdf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through the constitution submodule (Phase-6 distribution is operator-gated per §11.4.66). A consuming project registers its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honest rollback, exit 3) and</w:t>
      </w:r>
      <w:r>
        <w:t xml:space="preserve"> </w:t>
      </w:r>
      <w:r>
        <w:rPr>
          <w:b/>
          <w:bCs/>
        </w:rPr>
        <w:t xml:space="preserve">refuses silent merges</w:t>
      </w:r>
      <w:r>
        <w:t xml:space="preserve"> </w:t>
      </w:r>
      <w:r>
        <w:t xml:space="preserve">(both-dirty → conflict, exit 2), making §11.4.6 no-guessing + §11.4.50 deterministic-consistency mechanical rather than aspirational.</w:t>
      </w:r>
      <w:r>
        <w:t xml:space="preserve"> </w:t>
      </w:r>
      <w:r>
        <w:rPr>
          <w:b/>
          <w:bCs/>
        </w:rPr>
        <w:t xml:space="preserve">Herald applicability: APPLICABLE (integration in progress).</w:t>
      </w:r>
      <w:r>
        <w:t xml:space="preserve"> </w:t>
      </w:r>
      <w:r>
        <w:t xml:space="preserve">Herald's ~76 markdown docs each carry html/pdf/docx siblings produced today by the regen-all</w:t>
      </w:r>
      <w:r>
        <w:t xml:space="preserve"> </w:t>
      </w:r>
      <w:r>
        <w:rPr>
          <w:rStyle w:val="VerbatimChar"/>
        </w:rPr>
        <w:t xml:space="preserve">scripts/export_docs.sh</w:t>
      </w:r>
      <w:r>
        <w:t xml:space="preserve">; the migration plan (</w:t>
      </w:r>
      <w:hyperlink r:id="rId32">
        <w:r>
          <w:rPr>
            <w:rStyle w:val="VerbatimChar"/>
          </w:rPr>
          <w:t xml:space="preserve">docs/research/docs_chain/HERALD_DOCS_CHAIN_PLAN.md</w:t>
        </w:r>
      </w:hyperlink>
      <w:r>
        <w:t xml:space="preserve">) wires them via docs_chain</w:t>
      </w:r>
      <w:r>
        <w:t xml:space="preserve"> </w:t>
      </w:r>
      <w:r>
        <w:rPr>
          <w:rStyle w:val="VerbatimChar"/>
        </w:rPr>
        <w:t xml:space="preserve">exec:</w:t>
      </w:r>
      <w:r>
        <w:t xml:space="preserve"> </w:t>
      </w:r>
      <w:r>
        <w:t xml:space="preserve">transforms (preserving Herald's exact logo-CSS pandoc flags — byte-compatible, zero regen-drift across ~223 siblings) to gain incremental recompute + a</w:t>
      </w:r>
      <w:r>
        <w:t xml:space="preserve"> </w:t>
      </w:r>
      <w:r>
        <w:rPr>
          <w:rStyle w:val="VerbatimChar"/>
        </w:rPr>
        <w:t xml:space="preserve">verify</w:t>
      </w:r>
      <w:r>
        <w:t xml:space="preserve"> </w:t>
      </w:r>
      <w:r>
        <w:t xml:space="preserve">drift-gate (planned e2e invariant E146). Pending: the Phase-4 CLI (landed 2026-05-31), the exec-staging relative-asset contract (gap G6), and the binary-hash</w:t>
      </w:r>
      <w:r>
        <w:t xml:space="preserve"> </w:t>
      </w:r>
      <w:r>
        <w:rPr>
          <w:rStyle w:val="VerbatimChar"/>
        </w:rPr>
        <w:t xml:space="preserve">verify</w:t>
      </w:r>
      <w:r>
        <w:t xml:space="preserve"> </w:t>
      </w:r>
      <w:r>
        <w:t xml:space="preserve">fix found by dogfooding (binary node-kinds were hashed inconsistently between the sync-record and verify-check paths). Cascade-pattern parallel: §11.4.96 ("Herald has no AOSP build, but the principle binds") — restatement-with-applicability-and-cite shape. Inheritance per §11.4.35 with literal anchor</w:t>
      </w:r>
      <w:r>
        <w:t xml:space="preserve"> </w:t>
      </w:r>
      <w:r>
        <w:rPr>
          <w:rStyle w:val="VerbatimChar"/>
        </w:rPr>
        <w:t xml:space="preserve">11.4.106</w:t>
      </w:r>
      <w:r>
        <w:t xml:space="preserve"> </w:t>
      </w:r>
      <w:r>
        <w:t xml:space="preserve">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33"/>
    <w:bookmarkEnd w:id="34"/>
    <w:bookmarkStart w:id="36"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5">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6"/>
    <w:bookmarkStart w:id="38" w:name="X97a0253dc914108e533ee6c212b9c2edeabc207"/>
    <w:p>
      <w:pPr>
        <w:pStyle w:val="Heading2"/>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Operator mandate (2026-05-31).</w:t>
      </w:r>
      <w:r>
        <w:t xml:space="preserve"> </w:t>
      </w:r>
      <w:r>
        <w:t xml:space="preserve">Subscribers must</w:t>
      </w:r>
      <w:r>
        <w:t xml:space="preserve"> </w:t>
      </w:r>
      <w:r>
        <w:rPr>
          <w:b/>
          <w:bCs/>
        </w:rPr>
        <w:t xml:space="preserve">NOT</w:t>
      </w:r>
      <w:r>
        <w:t xml:space="preserve"> </w:t>
      </w:r>
      <w:r>
        <w:t xml:space="preserve">need to know command syntax — there is no</w:t>
      </w:r>
      <w:r>
        <w:t xml:space="preserve"> </w:t>
      </w:r>
      <w:r>
        <w:rPr>
          <w:rStyle w:val="VerbatimChar"/>
        </w:rPr>
        <w:t xml:space="preserve">COMMAND:</w:t>
      </w:r>
      <w:r>
        <w:t xml:space="preserve"> </w:t>
      </w:r>
      <w:r>
        <w:t xml:space="preserve">prefix and no fixed grammar. A subscriber sends a clear natural-language message;</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implementation stream codes against is</w:t>
      </w:r>
      <w:r>
        <w:t xml:space="preserve"> </w:t>
      </w:r>
      <w:hyperlink r:id="rId37">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Herald restates + cites, it does NOT redefine or weaken.</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needed). It is deliberately CONSERVATIVE — only a confident match (clear imperative verb + resolvable target)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 the resolution is</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Tier 3 is the anti-annoyance guarantee — the subscriber is never silently dropped and never has to learn syntax; at worst they get a friendly, specific "@user, did you mean X or Y?".</w:t>
      </w:r>
    </w:p>
    <w:p>
      <w:pPr>
        <w:pStyle w:val="Compact"/>
        <w:numPr>
          <w:ilvl w:val="0"/>
          <w:numId w:val="1008"/>
        </w:numPr>
      </w:pPr>
      <w:r>
        <w:rPr>
          <w:b/>
          <w:bCs/>
        </w:rPr>
        <w:t xml:space="preserve">Command set (Tier 1).</w:t>
      </w:r>
      <w:r>
        <w:t xml:space="preserve"> </w:t>
      </w:r>
      <w:r>
        <w:t xml:space="preserve">Natural-language imperatives map (case-insensitive, phrasing-tolerant) to the existing inbound actions: close/mark-done/assign/status-change →</w:t>
      </w:r>
      <w:r>
        <w:t xml:space="preserve"> </w:t>
      </w:r>
      <w:r>
        <w:rPr>
          <w:rStyle w:val="VerbatimChar"/>
        </w:rPr>
        <w:t xml:space="preserve">item.update</w:t>
      </w:r>
      <w:r>
        <w:t xml:space="preserve">; "open a bug/task/feature: …" →</w:t>
      </w:r>
      <w:r>
        <w:t xml:space="preserve"> </w:t>
      </w:r>
      <w:r>
        <w:rPr>
          <w:rStyle w:val="VerbatimChar"/>
        </w:rPr>
        <w:t xml:space="preserve">issue.open</w:t>
      </w:r>
      <w:r>
        <w:t xml:space="preserve"> </w:t>
      </w:r>
      <w:r>
        <w:t xml:space="preserve">(created_by=sender); "investigate ATM-N" →</w:t>
      </w:r>
      <w:r>
        <w:t xml:space="preserve"> </w:t>
      </w:r>
      <w:r>
        <w:rPr>
          <w:rStyle w:val="VerbatimChar"/>
        </w:rPr>
        <w:t xml:space="preserve">investigation.start</w:t>
      </w:r>
      <w:r>
        <w:t xml:space="preserve">; a question / conversational text →</w:t>
      </w:r>
      <w:r>
        <w:t xml:space="preserve"> </w:t>
      </w:r>
      <w:r>
        <w:rPr>
          <w:rStyle w:val="VerbatimChar"/>
        </w:rPr>
        <w:t xml:space="preserve">reply</w:t>
      </w:r>
      <w:r>
        <w:t xml:space="preserve">; genuinely ambiguous →</w:t>
      </w:r>
      <w:r>
        <w:t xml:space="preserve"> </w:t>
      </w:r>
      <w:r>
        <w:rPr>
          <w:rStyle w:val="VerbatimChar"/>
        </w:rPr>
        <w:t xml:space="preserve">clarify</w:t>
      </w:r>
      <w:r>
        <w:t xml:space="preserve">. See contract §2 for the full table.</w:t>
      </w:r>
    </w:p>
    <w:p>
      <w:pPr>
        <w:pStyle w:val="FirstParagraph"/>
      </w:pPr>
      <w:r>
        <w:t xml:space="preserve">The anti-bluff covenant (§107 / Helix §11.4) is a hard precondition of every PASS — every tier ships unit + integration + E2E + full-automation tests with real captured evidence under</w:t>
      </w:r>
      <w:r>
        <w:t xml:space="preserve"> </w:t>
      </w:r>
      <w:r>
        <w:rPr>
          <w:rStyle w:val="VerbatimChar"/>
        </w:rPr>
        <w:t xml:space="preserve">docs/qa/&lt;run-id&gt;/</w:t>
      </w:r>
      <w:r>
        <w:t xml:space="preserve"> </w:t>
      </w:r>
      <w:r>
        <w:t xml:space="preserve">(a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 paired §1.1 mutation that breaks the confidence guard or drops the clarify tag MUST FAIL).</w:t>
      </w:r>
    </w:p>
    <w:bookmarkEnd w:id="38"/>
    <w:bookmarkStart w:id="39"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9"/>
    <w:bookmarkStart w:id="40"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40"/>
    <w:bookmarkStart w:id="41"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9"/>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9"/>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9"/>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9"/>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41"/>
    <w:bookmarkStart w:id="42"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42"/>
    <w:bookmarkStart w:id="43" w:name="X13a66f9366a630b1607d5aa78347bb744647a8d"/>
    <w:p>
      <w:pPr>
        <w:pStyle w:val="Heading2"/>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43"/>
    <w:bookmarkStart w:id="44"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docs/specs/mvp/specification.V4.md</w:t>
      </w:r>
      <w:r>
        <w:t xml:space="preserve"> </w:t>
      </w:r>
      <w:r>
        <w:t xml:space="preserve">and are easy to miss because no code enforces them yet:</w:t>
      </w:r>
    </w:p>
    <w:p>
      <w:pPr>
        <w:pStyle w:val="Compact"/>
        <w:numPr>
          <w:ilvl w:val="0"/>
          <w:numId w:val="1010"/>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10"/>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10"/>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10"/>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10"/>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10"/>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10"/>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10"/>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4"/>
    <w:bookmarkStart w:id="45"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5"/>
    <w:bookmarkStart w:id="46"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11"/>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1"/>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1"/>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11"/>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6"/>
    <w:bookmarkStart w:id="47" w:name="notes-for-future-scaffolding"/>
    <w:p>
      <w:pPr>
        <w:pStyle w:val="Heading2"/>
      </w:pPr>
      <w:r>
        <w:t xml:space="preserve">Notes for future scaffolding</w:t>
      </w:r>
    </w:p>
    <w:p>
      <w:pPr>
        <w:pStyle w:val="Compact"/>
        <w:numPr>
          <w:ilvl w:val="0"/>
          <w:numId w:val="1012"/>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2"/>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2"/>
        </w:numPr>
      </w:pPr>
      <w:r>
        <w:rPr>
          <w:rStyle w:val="VerbatimChar"/>
        </w:rPr>
        <w:t xml:space="preserve">.claude/</w:t>
      </w:r>
      <w:r>
        <w:t xml:space="preserve"> </w:t>
      </w:r>
      <w:r>
        <w:t xml:space="preserve">exists but is empty; project-local Claude config can go there.</w:t>
      </w:r>
    </w:p>
    <w:p>
      <w:pPr>
        <w:pStyle w:val="Compact"/>
        <w:numPr>
          <w:ilvl w:val="0"/>
          <w:numId w:val="1012"/>
        </w:numPr>
      </w:pPr>
      <w:r>
        <w:rPr>
          <w:rStyle w:val="VerbatimChar"/>
        </w:rPr>
        <w:t xml:space="preserve">LICENSE</w:t>
      </w:r>
      <w:r>
        <w:t xml:space="preserve"> </w:t>
      </w:r>
      <w:r>
        <w:t xml:space="preserve">is present (do not overwrite without asking).</w:t>
      </w:r>
    </w:p>
    <w:p>
      <w:pPr>
        <w:pStyle w:val="Compact"/>
        <w:numPr>
          <w:ilvl w:val="0"/>
          <w:numId w:val="1012"/>
        </w:numPr>
      </w:pPr>
      <w:r>
        <w:rPr>
          <w:rStyle w:val="VerbatimChar"/>
        </w:rPr>
        <w:t xml:space="preserve">.DS_Store</w:t>
      </w:r>
      <w:r>
        <w:t xml:space="preserve"> </w:t>
      </w:r>
      <w:r>
        <w:t xml:space="preserve">is now git-ignored; do not re-add the previously-stray files.</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2026-05-31T08:49:47Z</dcterms:created>
  <dcterms:modified xsi:type="dcterms:W3CDTF">2026-05-31T08:49:47Z</dcterms:modified>
</cp:coreProperties>
</file>

<file path=docProps/custom.xml><?xml version="1.0" encoding="utf-8"?>
<Properties xmlns="http://schemas.openxmlformats.org/officeDocument/2006/custom-properties" xmlns:vt="http://schemas.openxmlformats.org/officeDocument/2006/docPropsVTypes"/>
</file>