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0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Updated spec links to V3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specification.V3.md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per-flavor-operator-guides">
        <w:r>
          <w:rPr>
            <w:rStyle w:val="Hyperlink"/>
          </w:rPr>
          <w:t xml:space="preserve">Per-flavor operator guides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5"/>
    <w:bookmarkStart w:id="16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6"/>
    <w:bookmarkStart w:id="18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18"/>
    <w:bookmarkStart w:id="21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19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19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1"/>
    <w:bookmarkStart w:id="22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specification.V3.md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2"/>
    <w:bookmarkStart w:id="29" w:name="quickstart-for-developers-and-agents"/>
    <w:p>
      <w:pPr>
        <w:pStyle w:val="Heading2"/>
      </w:pPr>
      <w:r>
        <w:t xml:space="preserve">Quickstart for developers and agents</w:t>
      </w:r>
    </w:p>
    <w:bookmarkStart w:id="24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3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4"/>
    <w:bookmarkStart w:id="25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5"/>
    <w:bookmarkStart w:id="28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28"/>
    <w:bookmarkEnd w:id="29"/>
    <w:bookmarkStart w:id="61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bookmarkStart w:id="39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39"/>
    <w:bookmarkStart w:id="46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6"/>
    <w:bookmarkStart w:id="55" w:name="per-flavor-operator-guides"/>
    <w:p>
      <w:pPr>
        <w:pStyle w:val="Heading3"/>
      </w:pPr>
      <w:r>
        <w:t xml:space="preserve">Per-flavor operator guides</w:t>
      </w:r>
    </w:p>
    <w:p>
      <w:pPr>
        <w:pStyle w:val="FirstParagraph"/>
      </w:pPr>
      <w:r>
        <w:t xml:space="preserve">Each Herald flavor binary ships with a nano-detail operator reference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, documenting every subcommand the built binary surfaces (</w:t>
      </w:r>
      <w:r>
        <w:rPr>
          <w:rStyle w:val="VerbatimChar"/>
        </w:rPr>
        <w:t xml:space="preserve">&lt;flavor&gt; --help</w:t>
      </w:r>
      <w:r>
        <w:t xml:space="preserve">), the env/credentials each needs, real example invocations, and which subcommands are live vs not-yet-implemented (all anti-bluff — derived from running the actual binary, nothing invented).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the richest flavor: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watch</w:t>
            </w:r>
            <w:r>
              <w:t xml:space="preserve">/</w:t>
            </w:r>
            <w:r>
              <w:rPr>
                <w:rStyle w:val="VerbatimChar"/>
              </w:rPr>
              <w:t xml:space="preserve">migrate</w:t>
            </w:r>
            <w:r>
              <w:t xml:space="preserve">/</w:t>
            </w:r>
            <w:r>
              <w:rPr>
                <w:rStyle w:val="VerbatimChar"/>
              </w:rPr>
              <w:t xml:space="preserve">wizard</w:t>
            </w:r>
            <w:r>
              <w:t xml:space="preserve">/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docs/guides/PHERALD.md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/v1/safety_state</w:t>
            </w:r>
            <w:r>
              <w:t xml:space="preserve">) + the host-safety guard commands (</w:t>
            </w:r>
            <w:r>
              <w:rPr>
                <w:rStyle w:val="VerbatimChar"/>
              </w:rPr>
              <w:t xml:space="preserve">destructive-guard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backup-snapshot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docs/guides/SHERALD.md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/v1/compliance</w:t>
            </w:r>
            <w:r>
              <w:t xml:space="preserve">) + the §11.4 compliance-check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docs/guides/CHERALD.md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CLI-only CI/test gates: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(§11.4.2) +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(§40.2 8-tier matrix);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not-yet-implemented (HRD-045)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docs/guides/BHERALD.md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CLI-only release path: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(§5),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cross-mirror parity),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retest)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docs/guides/RHERALD.md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is an honest 501 stub pending HRD-024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docs/guides/IHERALD.md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Status-Check Herald — CLI-only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(§11.4.45 rollup)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docs/guides/SCHERALD.md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QA Herald — Herald's autonomous QA bot: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(scenario harness → docs/qa evidence),</w:t>
            </w:r>
            <w:r>
              <w:t xml:space="preserve"> </w:t>
            </w:r>
            <w:r>
              <w:rPr>
                <w:rStyle w:val="VerbatimChar"/>
              </w:rPr>
              <w:t xml:space="preserve">mtproto</w:t>
            </w:r>
            <w:r>
              <w:t xml:space="preserve"> </w:t>
            </w:r>
            <w:r>
              <w:t xml:space="preserve">session lifecycle 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(15-scenario driver, SKELETON)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docs/guides/QAHERALD.md</w:t>
              </w:r>
            </w:hyperlink>
          </w:p>
        </w:tc>
      </w:tr>
    </w:tbl>
    <w:bookmarkEnd w:id="55"/>
    <w:bookmarkStart w:id="57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56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57"/>
    <w:bookmarkStart w:id="60" w:name="X2d57ec4c52902418777a57d1b6587fe0de5df6e"/>
    <w:p>
      <w:pPr>
        <w:pStyle w:val="Heading3"/>
      </w:pPr>
      <w:r>
        <w:t xml:space="preserve">Active blockers — operator action required</w:t>
      </w:r>
    </w:p>
    <w:p>
      <w:pPr>
        <w:pStyle w:val="FirstParagraph"/>
      </w:pPr>
      <w:hyperlink r:id="rId58">
        <w:r>
          <w:rPr>
            <w:rStyle w:val="VerbatimChar"/>
          </w:rPr>
          <w:t xml:space="preserve">docs/requirements/blockers/missing_env_variables.md</w:t>
        </w:r>
      </w:hyperlink>
      <w:r>
        <w:t xml:space="preserve"> </w:t>
      </w:r>
      <w:r>
        <w:t xml:space="preserve">— the step-by-step MTProto credential setup the operator must complete to unblock Wave 8 Track B (the full-automation rewrite of</w:t>
      </w:r>
      <w:r>
        <w:t xml:space="preserve"> 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and Wave 6.5 lifecycle scenarios per HelixConstitution §11.4.98 + Herald §108.m). Available in Markdown / HTML / PDF / DOCX.</w:t>
      </w:r>
      <w:r>
        <w:t xml:space="preserve"> </w:t>
      </w:r>
      <w:r>
        <w:rPr>
          <w:b/>
          <w:bCs/>
        </w:rPr>
        <w:t xml:space="preserve">Required for §11.4.98 compliance — release-gate item.</w:t>
      </w:r>
    </w:p>
    <w:p>
      <w:pPr>
        <w:pStyle w:val="BodyText"/>
      </w:pPr>
      <w:hyperlink r:id="rId59">
        <w:r>
          <w:rPr>
            <w:rStyle w:val="VerbatimChar"/>
          </w:rPr>
          <w:t xml:space="preserve">docs/audits/full-automation-114-98-audit-2026-05-28.md</w:t>
        </w:r>
      </w:hyperlink>
      <w:r>
        <w:t xml:space="preserve"> </w:t>
      </w:r>
      <w:r>
        <w:t xml:space="preserve">— the canonical classification of every Herald test against §11.4.98 (794 tests audited: 758 COMPLIANT-hermetic, 32 COMPLIANT-with-creds-bootstrap, 4 NON-COMPLIANT-manual-dep, 1 STRUCTURALLY-BROKEN). NON-COMPLIANT items have until 2026-06-27 (T+30 days) to be rewritten before graduating to §11.4.90 Obsolete.</w:t>
      </w:r>
    </w:p>
    <w:bookmarkEnd w:id="60"/>
    <w:bookmarkEnd w:id="61"/>
    <w:bookmarkStart w:id="62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62"/>
    <w:bookmarkStart w:id="64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63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64"/>
    <w:bookmarkStart w:id="65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p>
      <w:r>
        <w:pict>
          <v:rect style="width:0;height:1.5pt" o:hralign="center" o:hrstd="t" o:hr="t"/>
        </w:pict>
      </w:r>
    </w:p>
    <w:bookmarkEnd w:id="65"/>
    <w:bookmarkStart w:id="69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This README is a gateway document — the substantive operator-facing instructions live in the per-channel / per-dispatcher guides linked above. Each linked guide carries its own</w:t>
      </w:r>
      <w:r>
        <w:t xml:space="preserve"> </w:t>
      </w:r>
      <w:r>
        <w:rPr>
          <w:rStyle w:val="VerbatimChar"/>
        </w:rPr>
        <w:t xml:space="preserve">## Sources verified</w:t>
      </w:r>
      <w:r>
        <w:t xml:space="preserve"> </w:t>
      </w:r>
      <w:r>
        <w:t xml:space="preserve">footer covering the external services it documents. The cross-references below cover the external claims this README makes directly.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https://github.com/HelixDevelopment/HelixConstitution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§"Governance" (constitution authority + canonical URL); §"Quickstart" step 1 (clone-alongside command); §"Inherited invariants" list (§11.4 anti-bluff, §1.1 paired mutations, §11.4.6 no-guessing language, §11.4.10 credentials-never-tracked, §2.1 multi-upstream push, §9 hardlinked-backup).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§"Messengers" table — Telegram channel status (LIVE — HRD-011 + HRD-100). The substantive setup steps are in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67">
              <w:r>
                <w:rPr>
                  <w:rStyle w:val="VerbatimChar"/>
                </w:rPr>
                <w:t xml:space="preserve">docs/guides/TELEGRAM.md</w:t>
              </w:r>
            </w:hyperlink>
            <w:r>
              <w:t xml:space="preserve"> </w:t>
            </w:r>
            <w:r>
              <w:t xml:space="preserve">which carry their own §11.4.99 footers.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§"LLM / agent dispatchers" table — Claude Code status (LIVE — HRD-012 Fixed). The substantive setup steps are in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  <w:r>
              <w:t xml:space="preserve"> </w:t>
            </w:r>
            <w:r>
              <w:t xml:space="preserve">which carries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active blockers — MTProto credential setup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docs/requirements/blockers/missing_env_variables.md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§"Active blockers" link target — that document carries the canonical Telegram-userbot safety walkthrough (the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pre-login email; no VoIP / Google Voice / Twilio / TextNow numbers; one phone = one</w:t>
            </w:r>
            <w:r>
              <w:t xml:space="preserve"> </w:t>
            </w:r>
            <w:r>
              <w:rPr>
                <w:rStyle w:val="VerbatimChar"/>
              </w:rPr>
              <w:t xml:space="preserve">api_id</w:t>
            </w:r>
            <w:r>
              <w:t xml:space="preserve"> </w:t>
            </w:r>
            <w:r>
              <w:t xml:space="preserve">forever; Short-name STRICTLY alphanumeric — underscores REJECTED; ratelimit + floodwait middlewares) with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(source of truth)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docs/specs/mvp/specification.V3.md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§"Status" claims about Herald implementation maturity; §"Mission" canonical statement; §"Repository layout"; the V1→V2→V3 supersession chain. The spec itself carries its own §11.4.99 footer covering the external service contracts its design decisions depend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This README does not contain operator-actionable external-service instructions directly — those are in the linked guides, each with its own cadence. README-level re-verification is</w:t>
      </w:r>
      <w:r>
        <w:t xml:space="preserve"> </w:t>
      </w:r>
      <w:r>
        <w:rPr>
          <w:b/>
          <w:bCs/>
        </w:rPr>
        <w:t xml:space="preserve">on Herald structural changes</w:t>
      </w:r>
      <w:r>
        <w:t xml:space="preserve"> </w:t>
      </w:r>
      <w:r>
        <w:t xml:space="preserve">(repo-layout changes, new flavors, new mirror hosts, new linked guides) — no time-bound staleness. Linked guides MUST be kept current per their own footers.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3" Target="LICENSE" TargetMode="External" /><Relationship Type="http://schemas.openxmlformats.org/officeDocument/2006/relationships/hyperlink" Id="rId59" Target="docs/audits/full-automation-114-98-audit-2026-05-28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0" Target="docs/guides/BHERALD.md" TargetMode="External" /><Relationship Type="http://schemas.openxmlformats.org/officeDocument/2006/relationships/hyperlink" Id="rId49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2" Target="docs/guides/IHERALD.md" TargetMode="External" /><Relationship Type="http://schemas.openxmlformats.org/officeDocument/2006/relationships/hyperlink" Id="rId56" Target="docs/guides/OPERATOR_CREDENTIALS.md" TargetMode="External" /><Relationship Type="http://schemas.openxmlformats.org/officeDocument/2006/relationships/hyperlink" Id="rId47" Target="docs/guides/PHERALD.md" TargetMode="External" /><Relationship Type="http://schemas.openxmlformats.org/officeDocument/2006/relationships/hyperlink" Id="rId54" Target="docs/guides/QAHERALD.md" TargetMode="External" /><Relationship Type="http://schemas.openxmlformats.org/officeDocument/2006/relationships/hyperlink" Id="rId51" Target="docs/guides/RHERALD.md" TargetMode="External" /><Relationship Type="http://schemas.openxmlformats.org/officeDocument/2006/relationships/hyperlink" Id="rId53" Target="docs/guides/SCHERALD.md" TargetMode="External" /><Relationship Type="http://schemas.openxmlformats.org/officeDocument/2006/relationships/hyperlink" Id="rId48" Target="docs/guides/SHERALD.md" TargetMode="External" /><Relationship Type="http://schemas.openxmlformats.org/officeDocument/2006/relationships/hyperlink" Id="rId67" Target="docs/guides/TELEGRAM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58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66" Target="https://core.telegram.org/bots/api" TargetMode="External" /><Relationship Type="http://schemas.openxmlformats.org/officeDocument/2006/relationships/hyperlink" Id="rId68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3" Target="LICENSE" TargetMode="External" /><Relationship Type="http://schemas.openxmlformats.org/officeDocument/2006/relationships/hyperlink" Id="rId59" Target="docs/audits/full-automation-114-98-audit-2026-05-28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0" Target="docs/guides/BHERALD.md" TargetMode="External" /><Relationship Type="http://schemas.openxmlformats.org/officeDocument/2006/relationships/hyperlink" Id="rId49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2" Target="docs/guides/IHERALD.md" TargetMode="External" /><Relationship Type="http://schemas.openxmlformats.org/officeDocument/2006/relationships/hyperlink" Id="rId56" Target="docs/guides/OPERATOR_CREDENTIALS.md" TargetMode="External" /><Relationship Type="http://schemas.openxmlformats.org/officeDocument/2006/relationships/hyperlink" Id="rId47" Target="docs/guides/PHERALD.md" TargetMode="External" /><Relationship Type="http://schemas.openxmlformats.org/officeDocument/2006/relationships/hyperlink" Id="rId54" Target="docs/guides/QAHERALD.md" TargetMode="External" /><Relationship Type="http://schemas.openxmlformats.org/officeDocument/2006/relationships/hyperlink" Id="rId51" Target="docs/guides/RHERALD.md" TargetMode="External" /><Relationship Type="http://schemas.openxmlformats.org/officeDocument/2006/relationships/hyperlink" Id="rId53" Target="docs/guides/SCHERALD.md" TargetMode="External" /><Relationship Type="http://schemas.openxmlformats.org/officeDocument/2006/relationships/hyperlink" Id="rId48" Target="docs/guides/SHERALD.md" TargetMode="External" /><Relationship Type="http://schemas.openxmlformats.org/officeDocument/2006/relationships/hyperlink" Id="rId67" Target="docs/guides/TELEGRAM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58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66" Target="https://core.telegram.org/bots/api" TargetMode="External" /><Relationship Type="http://schemas.openxmlformats.org/officeDocument/2006/relationships/hyperlink" Id="rId68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2026-05-30T15:28:25Z</dcterms:created>
  <dcterms:modified xsi:type="dcterms:W3CDTF">2026-05-30T15:28:25Z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