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5"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r6: extended §108 with §108.d–§108.i restating the next six inherited HelixConstitution mandates — §11.4.89 background-test execution, §11.4.90 Obsolete status + obsolescence audit, §11.4.91 summary-doc clarity, §11.4.92 multi-pass change-evaluation, §11.4.93 SQLite workable-items SSoT, §11.4.94 zero-idle parallel-by-default — at Herald project-constitution level per §1.1 multi-file propagation discipline; inherited per §11.4.35, restated + cited, not redefined; literal anchors</w:t>
            </w:r>
            <w:r>
              <w:t xml:space="preserve"> </w:t>
            </w:r>
            <w:r>
              <w:rPr>
                <w:rStyle w:val="VerbatimChar"/>
              </w:rPr>
              <w:t xml:space="preserve">11.4.89</w:t>
            </w:r>
            <w:r>
              <w:t xml:space="preserve">–</w:t>
            </w:r>
            <w:r>
              <w:rPr>
                <w:rStyle w:val="VerbatimChar"/>
              </w:rPr>
              <w:t xml:space="preserve">11.4.94</w:t>
            </w:r>
            <w:r>
              <w:t xml:space="preserve"> </w:t>
            </w:r>
            <w:r>
              <w:t xml:space="preserve">now present. Prior 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 §108.d–§108.i Helix §11.4.89–§11.4.94 propagation (r6)</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 r6 extends §108 with §108.d–§108.i (§108.d background-test execution §11.4.89, §108.e Obsolete status + obsolescence audit §11.4.90, §108.f summary-doc clarity §11.4.91, §108.g multi-pass change-evaluation §11.4.92, §108.h SQLite workable-items SSoT §11.4.93, §108.i zero-idle parallel-by-default §11.4.94) restating the next six inherited HelixConstitution mandates at Herald level, inherited per §11.4.35; restated + cited, not redefined;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w:t>
            </w:r>
            <w:r>
              <w:t xml:space="preserve">now present in all three Herald root docs.</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cdc846098a2b087f0a238632e624f3a587d5814">
        <w:r>
          <w:rPr>
            <w:rStyle w:val="Hyperlink"/>
          </w:rPr>
          <w:t xml:space="preserve">§108. Inherited covenant restatements (Helix §11.4.85 / §11.4.87 / §11.4.88 / §11.4.89 / §11.4.90 / §11.4.91 / §11.4.92 / §11.4.93 / §11.4.94)</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30" w:name="project-articles"/>
    <w:p>
      <w:pPr>
        <w:pStyle w:val="Heading2"/>
      </w:pPr>
      <w:r>
        <w:t xml:space="preserve">Project Articles</w:t>
      </w:r>
    </w:p>
    <w:bookmarkStart w:id="11"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docs/specs/mvp/specification.V3.md`)</w:t>
      </w:r>
      <w:r>
        <w:rPr>
          <w:rStyle w:val="VerbatimChar"/>
        </w:rPr>
        <w:t xml:space="preserve">MUST appear in</w:t>
      </w:r>
      <w:r>
        <w:t xml:space="preserve">docs/specs/mvp/specification.V3.md`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29" w:name="Xcdc846098a2b087f0a238632e624f3a587d5814"/>
    <w:p>
      <w:pPr>
        <w:pStyle w:val="Heading3"/>
      </w:pPr>
      <w:r>
        <w:t xml:space="preserve">§108. Inherited covenant restatements (Helix §11.4.85 / §11.4.87 / §11.4.88 / §11.4.89 / §11.4.90 / §11.4.91 / §11.4.92 / §11.4.93 / §11.4.94)</w:t>
      </w:r>
    </w:p>
    <w:p>
      <w:pPr>
        <w:pStyle w:val="FirstParagraph"/>
      </w:pPr>
      <w:r>
        <w:t xml:space="preserve">These nine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w:t>
      </w:r>
      <w:r>
        <w:t xml:space="preserve"> </w:t>
      </w:r>
      <w:r>
        <w:rPr>
          <w:rStyle w:val="VerbatimChar"/>
        </w:rPr>
        <w:t xml:space="preserve">11.4.89</w:t>
      </w:r>
      <w:r>
        <w:t xml:space="preserve">,</w:t>
      </w:r>
      <w:r>
        <w:t xml:space="preserve"> </w:t>
      </w:r>
      <w:r>
        <w:rPr>
          <w:rStyle w:val="VerbatimChar"/>
        </w:rPr>
        <w:t xml:space="preserve">11.4.90</w:t>
      </w:r>
      <w:r>
        <w:t xml:space="preserve">,</w:t>
      </w:r>
      <w:r>
        <w:t xml:space="preserve"> </w:t>
      </w:r>
      <w:r>
        <w:rPr>
          <w:rStyle w:val="VerbatimChar"/>
        </w:rPr>
        <w:t xml:space="preserve">11.4.91</w:t>
      </w:r>
      <w:r>
        <w:t xml:space="preserve">,</w:t>
      </w:r>
      <w:r>
        <w:t xml:space="preserve"> </w:t>
      </w:r>
      <w:r>
        <w:rPr>
          <w:rStyle w:val="VerbatimChar"/>
        </w:rPr>
        <w:t xml:space="preserve">11.4.92</w:t>
      </w:r>
      <w:r>
        <w:t xml:space="preserve">,</w:t>
      </w:r>
      <w:r>
        <w:t xml:space="preserve"> </w:t>
      </w:r>
      <w:r>
        <w:rPr>
          <w:rStyle w:val="VerbatimChar"/>
        </w:rPr>
        <w:t xml:space="preserve">11.4.93</w:t>
      </w:r>
      <w:r>
        <w:t xml:space="preserve">,</w:t>
      </w:r>
      <w:r>
        <w:t xml:space="preserve"> </w:t>
      </w:r>
      <w:r>
        <w:rPr>
          <w:rStyle w:val="VerbatimChar"/>
        </w:rPr>
        <w:t xml:space="preserve">11.4.94</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bookmarkEnd w:id="22"/>
    <w:bookmarkStart w:id="23" w:name="X507240d4f64648babbc958129015f4ddf55d899"/>
    <w:p>
      <w:pPr>
        <w:pStyle w:val="Heading4"/>
      </w:pPr>
      <w:r>
        <w:t xml:space="preserve">§108.d. Background test execution mandate (extends Universal §11.4.89; Helix 2026-05-27)</w:t>
      </w:r>
    </w:p>
    <w:p>
      <w:pPr>
        <w:pStyle w:val="FirstParagraph"/>
      </w:pPr>
      <w:r>
        <w:rPr>
          <w:b/>
          <w:bCs/>
        </w:rPr>
        <w:t xml:space="preserve">Forensic anchor — verbatim user mandate (2026-05-27, condensed):</w:t>
      </w:r>
    </w:p>
    <w:p>
      <w:pPr>
        <w:pStyle w:val="BlockText"/>
      </w:pPr>
      <w:r>
        <w:t xml:space="preserve">"long-running tests (the mutation gates, e2e bluff-hunt, stress and chaos suites) MUST run in background so the main work stream never blocks waiting on them — survey the results from the log when they finish, do not sit idle."</w:t>
      </w:r>
    </w:p>
    <w:p>
      <w:pPr>
        <w:pStyle w:val="FirstParagraph"/>
      </w:pPr>
      <w:r>
        <w:rPr>
          <w:b/>
          <w:bCs/>
        </w:rPr>
        <w:t xml:space="preserve">Canonical authority.</w:t>
      </w:r>
      <w:r>
        <w:t xml:space="preserve"> </w:t>
      </w:r>
      <w:r>
        <w:t xml:space="preserve">Helix Universal Constitution §11.4.89. Herald §108.d is the project-binding restatement.</w:t>
      </w:r>
    </w:p>
    <w:p>
      <w:pPr>
        <w:pStyle w:val="BodyText"/>
      </w:pPr>
      <w:r>
        <w:rPr>
          <w:b/>
          <w:bCs/>
        </w:rPr>
        <w:t xml:space="preserve">Operative rule (Herald-binding).</w:t>
      </w:r>
      <w:r>
        <w:t xml:space="preserve"> </w:t>
      </w: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then</w:t>
      </w:r>
      <w:r>
        <w:t xml:space="preserve"> </w:t>
      </w:r>
      <w:r>
        <w:rPr>
          <w:rStyle w:val="VerbatimChar"/>
        </w:rPr>
        <w:t xml:space="preserve">disown</w:t>
      </w:r>
      <w:r>
        <w:t xml:space="preserve">); the main work stream returns immediately to the §11.4.42 priority queue and polls the log / 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 the planned</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No</w:t>
      </w:r>
      <w:r>
        <w:t xml:space="preserve"> </w:t>
      </w:r>
      <w:r>
        <w:rPr>
          <w:rStyle w:val="VerbatimChar"/>
        </w:rPr>
        <w:t xml:space="preserve">--block-on-long-test</w:t>
      </w:r>
      <w:r>
        <w:t xml:space="preserve"> </w:t>
      </w:r>
      <w:r>
        <w:t xml:space="preserve">/</w:t>
      </w:r>
      <w:r>
        <w:t xml:space="preserve"> </w:t>
      </w:r>
      <w:r>
        <w:rPr>
          <w:rStyle w:val="VerbatimChar"/>
        </w:rPr>
        <w:t xml:space="preserve">--skip-background</w:t>
      </w:r>
      <w:r>
        <w:t xml:space="preserve"> </w:t>
      </w:r>
      <w:r>
        <w:t xml:space="preserve">escape exists.</w:t>
      </w:r>
    </w:p>
    <w:bookmarkEnd w:id="23"/>
    <w:bookmarkStart w:id="24" w:name="Xa7cff6cc8f97ccc36aa7b54d092604bec10d769"/>
    <w:p>
      <w:pPr>
        <w:pStyle w:val="Heading4"/>
      </w:pPr>
      <w:r>
        <w:t xml:space="preserve">§108.e. Obsolete status + per-item obsolescence audit (extends Universal §11.4.90; Helix 2026-05-27)</w:t>
      </w:r>
    </w:p>
    <w:p>
      <w:pPr>
        <w:pStyle w:val="FirstParagraph"/>
      </w:pPr>
      <w:r>
        <w:rPr>
          <w:b/>
          <w:bCs/>
        </w:rPr>
        <w:t xml:space="preserve">Forensic anchor — verbatim user mandate (2026-05-27, condensed):</w:t>
      </w:r>
    </w:p>
    <w:p>
      <w:pPr>
        <w:pStyle w:val="BlockText"/>
      </w:pPr>
      <w:r>
        <w:t xml:space="preserve">"some workable items are no longer valid — superseded by a later design or mandate, or the feature was removed. Add an Obsolete status and audit every item for obsolescence at each release, with triple-checked evidence for why it is obsolete — no bare assertions."</w:t>
      </w:r>
    </w:p>
    <w:p>
      <w:pPr>
        <w:pStyle w:val="FirstParagraph"/>
      </w:pPr>
      <w:r>
        <w:rPr>
          <w:b/>
          <w:bCs/>
        </w:rPr>
        <w:t xml:space="preserve">Canonical authority.</w:t>
      </w:r>
      <w:r>
        <w:t xml:space="preserve"> </w:t>
      </w:r>
      <w:r>
        <w:t xml:space="preserve">Helix Universal Constitution §11.4.90. Herald §108.e is the project-binding restatement.</w:t>
      </w:r>
    </w:p>
    <w:p>
      <w:pPr>
        <w:pStyle w:val="BodyText"/>
      </w:pPr>
      <w:r>
        <w:rPr>
          <w:b/>
          <w:bCs/>
        </w:rPr>
        <w:t xml:space="preserve">Operative rule (Herald-binding).</w:t>
      </w:r>
      <w:r>
        <w:t xml:space="preserve"> </w:t>
      </w: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of the heading: Since (ISO date), Reason (closed-set value), Superseding-item (§ or HRD reference), and Triple-check evidence (git-log / grep / runtime path per §11.4.6 — a bare assertion is forbidden). At every release-gate sweep, Herald re-evaluates every open + Fixed HRD for obsolescence; Obsolete→Fixed.md migrations are atomic per §11.4.19 (the §107.x docs/qa evidence mandate still applies where the obsoleted item once shipped a feature). No</w:t>
      </w:r>
      <w:r>
        <w:t xml:space="preserve"> </w:t>
      </w:r>
      <w:r>
        <w:rPr>
          <w:rStyle w:val="VerbatimChar"/>
        </w:rPr>
        <w:t xml:space="preserve">--obsolete-without-evidence</w:t>
      </w:r>
      <w:r>
        <w:t xml:space="preserve"> </w:t>
      </w:r>
      <w:r>
        <w:t xml:space="preserve">/</w:t>
      </w:r>
      <w:r>
        <w:t xml:space="preserve"> </w:t>
      </w:r>
      <w:r>
        <w:rPr>
          <w:rStyle w:val="VerbatimChar"/>
        </w:rPr>
        <w:t xml:space="preserve">--skip-obsolescence-audit</w:t>
      </w:r>
      <w:r>
        <w:t xml:space="preserve"> </w:t>
      </w:r>
      <w:r>
        <w:t xml:space="preserve">escape exists.</w:t>
      </w:r>
    </w:p>
    <w:bookmarkEnd w:id="24"/>
    <w:bookmarkStart w:id="25" w:name="X1c844d969e1960382aa29e2b0321fbd36616592"/>
    <w:p>
      <w:pPr>
        <w:pStyle w:val="Heading4"/>
      </w:pPr>
      <w:r>
        <w:t xml:space="preserve">§108.f. Summary-doc clarity (extends Universal §11.4.91; Helix 2026-05-27)</w:t>
      </w:r>
    </w:p>
    <w:p>
      <w:pPr>
        <w:pStyle w:val="FirstParagraph"/>
      </w:pPr>
      <w:r>
        <w:rPr>
          <w:b/>
          <w:bCs/>
        </w:rPr>
        <w:t xml:space="preserve">Forensic anchor — verbatim user mandate (2026-05-27, condensed):</w:t>
      </w:r>
    </w:p>
    <w:p>
      <w:pPr>
        <w:pStyle w:val="BlockText"/>
      </w:pPr>
      <w:r>
        <w:t xml:space="preserve">"the one-line summaries in the Issues/Fixed/Status summary docs are useless when they are just a fragment or a status word — each MUST be a self-contained clause that says what the item is about and what the problem or goal is."</w:t>
      </w:r>
    </w:p>
    <w:p>
      <w:pPr>
        <w:pStyle w:val="FirstParagraph"/>
      </w:pPr>
      <w:r>
        <w:rPr>
          <w:b/>
          <w:bCs/>
        </w:rPr>
        <w:t xml:space="preserve">Canonical authority.</w:t>
      </w:r>
      <w:r>
        <w:t xml:space="preserve"> </w:t>
      </w:r>
      <w:r>
        <w:t xml:space="preserve">Helix Universal Constitution §11.4.91. Herald §108.f is the project-binding restatement.</w:t>
      </w:r>
    </w:p>
    <w:p>
      <w:pPr>
        <w:pStyle w:val="BodyText"/>
      </w:pPr>
      <w:r>
        <w:rPr>
          <w:b/>
          <w:bCs/>
        </w:rPr>
        <w:t xml:space="preserve">Operative rule (Herald-binding).</w:t>
      </w:r>
      <w:r>
        <w:t xml:space="preserve"> </w:t>
      </w: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and every README doc-link row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The</w:t>
      </w:r>
      <w:r>
        <w:t xml:space="preserve"> </w:t>
      </w:r>
      <w:r>
        <w:rPr>
          <w:rStyle w:val="VerbatimChar"/>
        </w:rPr>
        <w:t xml:space="preserve">*_Summary.md</w:t>
      </w:r>
      <w:r>
        <w:t xml:space="preserve"> </w:t>
      </w:r>
      <w:r>
        <w:t xml:space="preserve">variants remain derived (per the documentation-artefacts rule — do not hand-edit them out of sync with source). No</w:t>
      </w:r>
      <w:r>
        <w:t xml:space="preserve"> </w:t>
      </w:r>
      <w:r>
        <w:rPr>
          <w:rStyle w:val="VerbatimChar"/>
        </w:rPr>
        <w:t xml:space="preserve">--terse-summary-OK</w:t>
      </w:r>
      <w:r>
        <w:t xml:space="preserve"> </w:t>
      </w:r>
      <w:r>
        <w:t xml:space="preserve">escape exists.</w:t>
      </w:r>
    </w:p>
    <w:bookmarkEnd w:id="25"/>
    <w:bookmarkStart w:id="26" w:name="X9fbcf4db0e0d5b42b9485fa993dd0725d8fa411"/>
    <w:p>
      <w:pPr>
        <w:pStyle w:val="Heading4"/>
      </w:pPr>
      <w:r>
        <w:t xml:space="preserve">§108.g. Multi-pass change-evaluation discipline (extends Universal §11.4.92; Helix 2026-05-27)</w:t>
      </w:r>
    </w:p>
    <w:p>
      <w:pPr>
        <w:pStyle w:val="FirstParagraph"/>
      </w:pPr>
      <w:r>
        <w:rPr>
          <w:b/>
          <w:bCs/>
        </w:rPr>
        <w:t xml:space="preserve">Forensic anchor — verbatim user mandate (2026-05-27, condensed):</w:t>
      </w:r>
    </w:p>
    <w:p>
      <w:pPr>
        <w:pStyle w:val="BlockText"/>
      </w:pPr>
      <w:r>
        <w:t xml:space="preserve">"before a change is ready to commit, evaluate it in multiple passes — the main task, the regression blast-radius, the cross-feature interactions, the deep research, and a final anti-bluff confirmation — and document each pass. A change that only proved its happy path is not done."</w:t>
      </w:r>
    </w:p>
    <w:p>
      <w:pPr>
        <w:pStyle w:val="FirstParagraph"/>
      </w:pPr>
      <w:r>
        <w:rPr>
          <w:b/>
          <w:bCs/>
        </w:rPr>
        <w:t xml:space="preserve">Canonical authority.</w:t>
      </w:r>
      <w:r>
        <w:t xml:space="preserve"> </w:t>
      </w:r>
      <w:r>
        <w:t xml:space="preserve">Helix Universal Constitution §11.4.92. Herald §108.g is the project-binding restatement.</w:t>
      </w:r>
    </w:p>
    <w:p>
      <w:pPr>
        <w:pStyle w:val="BodyText"/>
      </w:pPr>
      <w:r>
        <w:rPr>
          <w:b/>
          <w:bCs/>
        </w:rPr>
        <w:t xml:space="preserve">Operative rule (Herald-binding).</w:t>
      </w:r>
      <w:r>
        <w:t xml:space="preserve"> </w:t>
      </w:r>
      <w:r>
        <w:t xml:space="preserve">Every non-trivial Herald change MUST pass — and document — a 5-pass evaluation before it is commit-ready:</w:t>
      </w:r>
      <w:r>
        <w:t xml:space="preserve"> </w:t>
      </w:r>
      <w:r>
        <w:rPr>
          <w:b/>
          <w:bCs/>
        </w:rPr>
        <w:t xml:space="preserve">Pass 1</w:t>
      </w:r>
      <w:r>
        <w:t xml:space="preserve"> </w:t>
      </w:r>
      <w:r>
        <w:t xml:space="preserve">main-task captured-evidence (§11.4.5 / §107 — no "should work");</w:t>
      </w:r>
      <w:r>
        <w:t xml:space="preserve"> </w:t>
      </w:r>
      <w:r>
        <w:rPr>
          <w:b/>
          <w:bCs/>
        </w:rPr>
        <w:t xml:space="preserve">Pass 2</w:t>
      </w:r>
      <w:r>
        <w:t xml:space="preserve"> </w:t>
      </w:r>
      <w:r>
        <w:t xml:space="preserve">regression-blast-radius (every touched file + every importer/caller audited — e.g. a</w:t>
      </w:r>
      <w:r>
        <w:t xml:space="preserve"> </w:t>
      </w:r>
      <w:r>
        <w:rPr>
          <w:rStyle w:val="VerbatimChar"/>
        </w:rPr>
        <w:t xml:space="preserve">commons</w:t>
      </w:r>
      <w:r>
        <w:t xml:space="preserve"> </w:t>
      </w:r>
      <w:r>
        <w:t xml:space="preserve">type change audits all flavor binaries);</w:t>
      </w:r>
      <w:r>
        <w:t xml:space="preserve"> </w:t>
      </w:r>
      <w:r>
        <w:rPr>
          <w:b/>
          <w:bCs/>
        </w:rPr>
        <w:t xml:space="preserve">Pass 3</w:t>
      </w:r>
      <w:r>
        <w:t xml:space="preserve"> </w:t>
      </w:r>
      <w:r>
        <w:t xml:space="preserve">cross-feature interaction (shared state / timing / env — e.g. a mutation-gate edit checks §107.y quiescence + §108.d / §11.4.89 backgrounding);</w:t>
      </w:r>
      <w:r>
        <w:t xml:space="preserve"> </w:t>
      </w:r>
      <w:r>
        <w:rPr>
          <w:b/>
          <w:bCs/>
        </w:rPr>
        <w:t xml:space="preserve">Pass 4</w:t>
      </w:r>
      <w:r>
        <w:t xml:space="preserve"> </w:t>
      </w:r>
      <w:r>
        <w:t xml:space="preserve">deep-research validation (§11.4.8 — external precedent located, or a literal "NO external solution found" recorded);</w:t>
      </w:r>
      <w:r>
        <w:t xml:space="preserve"> </w:t>
      </w:r>
      <w:r>
        <w:rPr>
          <w:b/>
          <w:bCs/>
        </w:rPr>
        <w:t xml:space="preserve">Pass 5</w:t>
      </w:r>
      <w:r>
        <w:t xml:space="preserve"> </w:t>
      </w:r>
      <w:r>
        <w:t xml:space="preserve">anti-bluff confirmation (no metadata-only / config-only / script-bug PASS). Evidence lands in the commit footer or under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an explicit commit-message citation. No</w:t>
      </w:r>
      <w:r>
        <w:t xml:space="preserve"> </w:t>
      </w:r>
      <w:r>
        <w:rPr>
          <w:rStyle w:val="VerbatimChar"/>
        </w:rPr>
        <w:t xml:space="preserve">--single-pass-OK</w:t>
      </w:r>
      <w:r>
        <w:t xml:space="preserve"> </w:t>
      </w:r>
      <w:r>
        <w:t xml:space="preserve">/</w:t>
      </w:r>
      <w:r>
        <w:t xml:space="preserve"> </w:t>
      </w:r>
      <w:r>
        <w:rPr>
          <w:rStyle w:val="VerbatimChar"/>
        </w:rPr>
        <w:t xml:space="preserve">--skip-blast-radius</w:t>
      </w:r>
      <w:r>
        <w:t xml:space="preserve"> </w:t>
      </w:r>
      <w:r>
        <w:t xml:space="preserve">escape exists.</w:t>
      </w:r>
    </w:p>
    <w:bookmarkEnd w:id="26"/>
    <w:bookmarkStart w:id="27" w:name="Xb18f8ce58330900575030c5850c07e788296e22"/>
    <w:p>
      <w:pPr>
        <w:pStyle w:val="Heading4"/>
      </w:pPr>
      <w:r>
        <w:t xml:space="preserve">§108.h. SQLite-backed single-source-of-truth for workable items (extends Universal §11.4.93; Helix 2026-05-27)</w:t>
      </w:r>
    </w:p>
    <w:p>
      <w:pPr>
        <w:pStyle w:val="FirstParagraph"/>
      </w:pPr>
      <w:r>
        <w:rPr>
          <w:b/>
          <w:bCs/>
        </w:rPr>
        <w:t xml:space="preserve">Forensic anchor — verbatim user mandate (2026-05-27, condensed):</w:t>
      </w:r>
    </w:p>
    <w:p>
      <w:pPr>
        <w:pStyle w:val="BlockText"/>
      </w:pPr>
      <w:r>
        <w:t xml:space="preserve">"the Issues / Fixed / Status / Continuation tracking is in too many Markdown files that drift out of sync — back it with a single SQLite source of truth and regenerate the Markdown from it (and back) so drift is impossible. The tool already exists in the constitution — use it, do not reinvent it."</w:t>
      </w:r>
    </w:p>
    <w:p>
      <w:pPr>
        <w:pStyle w:val="FirstParagraph"/>
      </w:pPr>
      <w:r>
        <w:rPr>
          <w:b/>
          <w:bCs/>
        </w:rPr>
        <w:t xml:space="preserve">Canonical authority.</w:t>
      </w:r>
      <w:r>
        <w:t xml:space="preserve"> </w:t>
      </w:r>
      <w:r>
        <w:t xml:space="preserve">Helix Universal Constitution §11.4.93. Herald §108.h is the project-binding restatement.</w:t>
      </w:r>
    </w:p>
    <w:p>
      <w:pPr>
        <w:pStyle w:val="BodyText"/>
      </w:pPr>
      <w:r>
        <w:rPr>
          <w:b/>
          <w:bCs/>
        </w:rPr>
        <w:t xml:space="preserve">Operative rule (Herald-binding).</w:t>
      </w:r>
      <w:r>
        <w:t xml:space="preserve"> </w:t>
      </w:r>
      <w:r>
        <w:t xml:space="preserve">Herald's text-based HRD trackers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 the</w:t>
      </w:r>
      <w:r>
        <w:t xml:space="preserve"> </w:t>
      </w:r>
      <w:r>
        <w:rPr>
          <w:rStyle w:val="VerbatimChar"/>
        </w:rPr>
        <w:t xml:space="preserve">*_Summary.md</w:t>
      </w:r>
      <w:r>
        <w:t xml:space="preserve"> </w:t>
      </w:r>
      <w:r>
        <w:t xml:space="preserve">variants /</w:t>
      </w:r>
      <w:r>
        <w:t xml:space="preserve"> </w:t>
      </w:r>
      <w:r>
        <w:rPr>
          <w:rStyle w:val="VerbatimChar"/>
        </w:rPr>
        <w:t xml:space="preserve">docs/Status.md</w:t>
      </w:r>
      <w:r>
        <w:t xml:space="preserve"> </w:t>
      </w:r>
      <w:r>
        <w:t xml:space="preserve">/</w:t>
      </w:r>
      <w:r>
        <w:t xml:space="preserve"> </w:t>
      </w:r>
      <w:r>
        <w:rPr>
          <w:rStyle w:val="VerbatimChar"/>
        </w:rPr>
        <w:t xml:space="preserve">docs/CONTINUATION.md</w:t>
      </w:r>
      <w:r>
        <w:t xml:space="preserve"> </w:t>
      </w:r>
      <w:r>
        <w:t xml:space="preserve">§3) migrate to a SQLite single-source-of-truth (</w:t>
      </w:r>
      <w:r>
        <w:rPr>
          <w:rStyle w:val="VerbatimChar"/>
        </w:rPr>
        <w:t xml:space="preserve">docs/.workable_items.db</w:t>
      </w:r>
      <w:r>
        <w:t xml:space="preserve">, gitignored with a committed regeneration mechanism per §11.4.30) with bidirectional MD↔DB regeneration so sync-drift is mechanically impossible. The migration Go binary lives in the constitution submodule (</w:t>
      </w:r>
      <w:r>
        <w:rPr>
          <w:rStyle w:val="VerbatimChar"/>
        </w:rPr>
        <w:t xml:space="preserve">constitution/scripts/workable-items/</w:t>
      </w:r>
      <w:r>
        <w:t xml:space="preserve">) — Herald references it per §11.4.74 catalogue-first, and never reimplements it. The migration is 6-phase; Herald files the tracking HRD (Phase 1) and progresses incrementally without breaking the §106 spec-change / §107.x evidence invariants. No</w:t>
      </w:r>
      <w:r>
        <w:t xml:space="preserve"> </w:t>
      </w:r>
      <w:r>
        <w:rPr>
          <w:rStyle w:val="VerbatimChar"/>
        </w:rPr>
        <w:t xml:space="preserve">--skip-ssot</w:t>
      </w:r>
      <w:r>
        <w:t xml:space="preserve"> </w:t>
      </w:r>
      <w:r>
        <w:t xml:space="preserve">/</w:t>
      </w:r>
      <w:r>
        <w:t xml:space="preserve"> </w:t>
      </w:r>
      <w:r>
        <w:rPr>
          <w:rStyle w:val="VerbatimChar"/>
        </w:rPr>
        <w:t xml:space="preserve">--keep-md-only</w:t>
      </w:r>
      <w:r>
        <w:t xml:space="preserve"> </w:t>
      </w:r>
      <w:r>
        <w:t xml:space="preserve">escape exists once the migration HRD is filed.</w:t>
      </w:r>
    </w:p>
    <w:bookmarkEnd w:id="27"/>
    <w:bookmarkStart w:id="28" w:name="Xd900d18e0f5c820a3bf42dafa66c260692daff8"/>
    <w:p>
      <w:pPr>
        <w:pStyle w:val="Heading4"/>
      </w:pPr>
      <w:r>
        <w:t xml:space="preserve">§108.i. Zero-idle priority-first parallel-by-default operating mode (extends Universal §11.4.94; Helix 2026-05-27)</w:t>
      </w:r>
    </w:p>
    <w:p>
      <w:pPr>
        <w:pStyle w:val="FirstParagraph"/>
      </w:pPr>
      <w:r>
        <w:rPr>
          <w:b/>
          <w:bCs/>
        </w:rPr>
        <w:t xml:space="preserve">Forensic anchor — verbatim user mandate (2026-05-27, condensed):</w:t>
      </w:r>
    </w:p>
    <w:p>
      <w:pPr>
        <w:pStyle w:val="BlockText"/>
      </w:pPr>
      <w:r>
        <w:t xml:space="preserve">"never sit idle while there is priority-queued work that could move — survey the queue, pick the highest-priority non-blocking items, and run them in parallel by default. Idle is only allowed when everything is genuinely blocked on something external."</w:t>
      </w:r>
    </w:p>
    <w:p>
      <w:pPr>
        <w:pStyle w:val="FirstParagraph"/>
      </w:pPr>
      <w:r>
        <w:rPr>
          <w:b/>
          <w:bCs/>
        </w:rPr>
        <w:t xml:space="preserve">Canonical authority.</w:t>
      </w:r>
      <w:r>
        <w:t xml:space="preserve"> </w:t>
      </w:r>
      <w:r>
        <w:t xml:space="preserve">Helix Universal Constitution §11.4.94. Herald §108.i is the project-binding restatement.</w:t>
      </w:r>
    </w:p>
    <w:p>
      <w:pPr>
        <w:pStyle w:val="BodyText"/>
      </w:pPr>
      <w:r>
        <w:rPr>
          <w:b/>
          <w:bCs/>
        </w:rPr>
        <w:t xml:space="preserve">Operative rule (Herald-binding).</w:t>
      </w:r>
      <w:r>
        <w:t xml:space="preserve"> </w:t>
      </w:r>
      <w:r>
        <w:t xml:space="preserve">Binding always-on contract: Herald work is NEVER idle while a priority-queued item can progress. Before any wake / sleep / "waiting for X", survey the priority queue, identify all non-contending items, and dispatch them in parallel — subagent-driven per §11.4.20 / §11.4.70 when non-trivial, backgrounded per §108.d / §11.4.89 when &gt;30s — picking the highest-Severity / priority item first. The conductor remains the integration + commit + push seam; parallel work MUST NOT compromise stability (composes with §107.y quiescence + §108.g / §11.4.92 multi-pass + §12 host-safety). This is the operating-mode generalisation of §108.b / §11.4.87 (endless-loop) and §108.c / §11.4.88 (background-push).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--serialise-OK</w:t>
      </w:r>
      <w:r>
        <w:t xml:space="preserve"> </w:t>
      </w:r>
      <w:r>
        <w:t xml:space="preserve">/</w:t>
      </w:r>
      <w:r>
        <w:t xml:space="preserve"> </w:t>
      </w:r>
      <w:r>
        <w:rPr>
          <w:rStyle w:val="VerbatimChar"/>
        </w:rPr>
        <w:t xml:space="preserve">--idle-permitted</w:t>
      </w:r>
      <w:r>
        <w:t xml:space="preserve"> </w:t>
      </w:r>
      <w:r>
        <w:t xml:space="preserve">escape exists.</w:t>
      </w:r>
    </w:p>
    <w:p>
      <w:pPr>
        <w:pStyle w:val="BodyText"/>
      </w:pPr>
      <w:r>
        <w:rPr>
          <w:b/>
          <w:bCs/>
        </w:rPr>
        <w:t xml:space="preserve">Propagation (§108.d–§108.i).</w:t>
      </w:r>
      <w:r>
        <w:t xml:space="preserve"> </w:t>
      </w:r>
      <w:r>
        <w:t xml:space="preserve">These six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§11.4.89 / §11.4.90 / §11.4.91 / §11.4.92 / §11.4.93 / §11.4.94 are cascaded into the Helix-stack submodules per §1.1 multi-file propagation discipline. The literal anchors</w:t>
      </w:r>
      <w:r>
        <w:t xml:space="preserve"> </w:t>
      </w:r>
      <w:r>
        <w:rPr>
          <w:rStyle w:val="VerbatimChar"/>
        </w:rPr>
        <w:t xml:space="preserve">11.4.89</w:t>
      </w:r>
      <w:r>
        <w:t xml:space="preserve"> </w:t>
      </w:r>
      <w:r>
        <w:t xml:space="preserve">/</w:t>
      </w:r>
      <w:r>
        <w:t xml:space="preserve"> </w:t>
      </w:r>
      <w:r>
        <w:rPr>
          <w:rStyle w:val="VerbatimChar"/>
        </w:rPr>
        <w:t xml:space="preserve">11.4.90</w:t>
      </w:r>
      <w:r>
        <w:t xml:space="preserve"> </w:t>
      </w:r>
      <w:r>
        <w:t xml:space="preserve">/</w:t>
      </w:r>
      <w:r>
        <w:t xml:space="preserve"> </w:t>
      </w:r>
      <w:r>
        <w:rPr>
          <w:rStyle w:val="VerbatimChar"/>
        </w:rPr>
        <w:t xml:space="preserve">11.4.91</w:t>
      </w:r>
      <w:r>
        <w:t xml:space="preserve"> </w:t>
      </w:r>
      <w:r>
        <w:t xml:space="preserve">/</w:t>
      </w:r>
      <w:r>
        <w:t xml:space="preserve"> </w:t>
      </w:r>
      <w:r>
        <w:rPr>
          <w:rStyle w:val="VerbatimChar"/>
        </w:rPr>
        <w:t xml:space="preserve">11.4.92</w:t>
      </w:r>
      <w:r>
        <w:t xml:space="preserve"> </w:t>
      </w:r>
      <w:r>
        <w:t xml:space="preserve">/</w:t>
      </w:r>
      <w:r>
        <w:t xml:space="preserve"> </w:t>
      </w:r>
      <w:r>
        <w:rPr>
          <w:rStyle w:val="VerbatimChar"/>
        </w:rPr>
        <w:t xml:space="preserve">11.4.93</w:t>
      </w:r>
      <w:r>
        <w:t xml:space="preserve"> </w:t>
      </w:r>
      <w:r>
        <w:t xml:space="preserve">/</w:t>
      </w:r>
      <w:r>
        <w:t xml:space="preserve"> </w:t>
      </w:r>
      <w:r>
        <w:rPr>
          <w:rStyle w:val="VerbatimChar"/>
        </w:rPr>
        <w:t xml:space="preserve">11.4.94</w:t>
      </w:r>
      <w:r>
        <w:t xml:space="preserve"> </w:t>
      </w:r>
      <w:r>
        <w:t xml:space="preserve">are present in all three Herald root docs.</w:t>
      </w:r>
    </w:p>
    <w:p>
      <w:pPr>
        <w:pStyle w:val="BodyText"/>
      </w:pPr>
      <w:r>
        <w:rPr>
          <w:b/>
          <w:bCs/>
        </w:rPr>
        <w:t xml:space="preserve">Non-compliance is a release blocker (§108.d–§108.i).</w:t>
      </w:r>
      <w:r>
        <w:t xml:space="preserve"> </w:t>
      </w:r>
      <w:r>
        <w:t xml:space="preserve">Each sub-clause carries its inherited no-escape-hatch posture: no</w:t>
      </w:r>
      <w:r>
        <w:t xml:space="preserve"> </w:t>
      </w:r>
      <w:r>
        <w:rPr>
          <w:rStyle w:val="VerbatimChar"/>
        </w:rPr>
        <w:t xml:space="preserve">--block-on-long-test</w:t>
      </w:r>
      <w:r>
        <w:t xml:space="preserve"> </w:t>
      </w:r>
      <w:r>
        <w:t xml:space="preserve">(§108.d), no</w:t>
      </w:r>
      <w:r>
        <w:t xml:space="preserve"> </w:t>
      </w:r>
      <w:r>
        <w:rPr>
          <w:rStyle w:val="VerbatimChar"/>
        </w:rPr>
        <w:t xml:space="preserve">--obsolete-without-evidence</w:t>
      </w:r>
      <w:r>
        <w:t xml:space="preserve"> </w:t>
      </w:r>
      <w:r>
        <w:t xml:space="preserve">(§108.e), no</w:t>
      </w:r>
      <w:r>
        <w:t xml:space="preserve"> </w:t>
      </w:r>
      <w:r>
        <w:rPr>
          <w:rStyle w:val="VerbatimChar"/>
        </w:rPr>
        <w:t xml:space="preserve">--terse-summary-OK</w:t>
      </w:r>
      <w:r>
        <w:t xml:space="preserve"> </w:t>
      </w:r>
      <w:r>
        <w:t xml:space="preserve">(§108.f), no</w:t>
      </w:r>
      <w:r>
        <w:t xml:space="preserve"> </w:t>
      </w:r>
      <w:r>
        <w:rPr>
          <w:rStyle w:val="VerbatimChar"/>
        </w:rPr>
        <w:t xml:space="preserve">--single-pass-OK</w:t>
      </w:r>
      <w:r>
        <w:t xml:space="preserve"> </w:t>
      </w:r>
      <w:r>
        <w:t xml:space="preserve">(§108.g), no</w:t>
      </w:r>
      <w:r>
        <w:t xml:space="preserve"> </w:t>
      </w:r>
      <w:r>
        <w:rPr>
          <w:rStyle w:val="VerbatimChar"/>
        </w:rPr>
        <w:t xml:space="preserve">--keep-md-only</w:t>
      </w:r>
      <w:r>
        <w:t xml:space="preserve"> </w:t>
      </w:r>
      <w:r>
        <w:t xml:space="preserve">once migration is filed (§108.h), no</w:t>
      </w:r>
      <w:r>
        <w:t xml:space="preserve"> </w:t>
      </w:r>
      <w:r>
        <w:rPr>
          <w:rStyle w:val="VerbatimChar"/>
        </w:rPr>
        <w:t xml:space="preserve">--idle-permitted</w:t>
      </w:r>
      <w:r>
        <w:t xml:space="preserve"> </w:t>
      </w:r>
      <w:r>
        <w:t xml:space="preserve">(§108.i).</w:t>
      </w:r>
    </w:p>
    <w:p>
      <w:r>
        <w:pict>
          <v:rect style="width:0;height:1.5pt" o:hralign="center" o:hrstd="t" o:hr="t"/>
        </w:pict>
      </w:r>
    </w:p>
    <w:bookmarkEnd w:id="28"/>
    <w:bookmarkEnd w:id="29"/>
    <w:bookmarkEnd w:id="30"/>
    <w:bookmarkStart w:id="31"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31"/>
    <w:bookmarkStart w:id="32"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32"/>
    <w:bookmarkStart w:id="33"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33"/>
    <w:bookmarkStart w:id="34" w:name="notes"/>
    <w:p>
      <w:pPr>
        <w:pStyle w:val="Heading2"/>
      </w:pPr>
      <w:r>
        <w:t xml:space="preserve">Notes</w:t>
      </w:r>
    </w:p>
    <w:p>
      <w:pPr>
        <w:pStyle w:val="FirstParagraph"/>
      </w:pPr>
      <w:r>
        <w:t xml:space="preserve">Herald's spec is now in V3 (</w:t>
      </w:r>
      <w:r>
        <w:rPr>
          <w:rStyle w:val="VerbatimChar"/>
        </w:rPr>
        <w:t xml:space="preserve">docs/specs/mvp/specification.V3.md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2026-05-27T07:09:39Z</dcterms:created>
  <dcterms:modified xsi:type="dcterms:W3CDTF">2026-05-27T07:09:39Z</dcterms:modified>
</cp:coreProperties>
</file>

<file path=docProps/custom.xml><?xml version="1.0" encoding="utf-8"?>
<Properties xmlns="http://schemas.openxmlformats.org/officeDocument/2006/custom-properties" xmlns:vt="http://schemas.openxmlformats.org/officeDocument/2006/docPropsVTypes"/>
</file>