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38" w:name="X29ba34a6363e2c67d8694b1ca495668000e457a"/>
    <w:p>
      <w:pPr>
        <w:pStyle w:val="Heading1"/>
      </w:pPr>
      <w:r>
        <w:t xml:space="preserve">Herald —</w:t>
      </w:r>
      <w:r>
        <w:t xml:space="preserve"> </w:t>
      </w:r>
      <w:r>
        <w:rPr>
          <w:rStyle w:val="VerbatimChar"/>
        </w:rPr>
        <w:t xml:space="preserve">commons_workable</w:t>
      </w:r>
      <w:r>
        <w:t xml:space="preserve"> </w:t>
      </w:r>
      <w:r>
        <w:t xml:space="preserve">Module Guide (Operator / Developer)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Nano-detail per-module reference for</w:t>
            </w:r>
            <w:r>
              <w:t xml:space="preserve"> </w:t>
            </w:r>
            <w:r>
              <w:rPr>
                <w:rStyle w:val="VerbatimChar"/>
              </w:rPr>
              <w:t xml:space="preserve">commons_workable</w:t>
            </w:r>
            <w:r>
              <w:t xml:space="preserve"> </w:t>
            </w:r>
            <w:r>
              <w:t xml:space="preserve">— the SQLite workable-items single-source-of-truth (SSoT) store that Herald shares with ATMOSphere. Documents the schema (</w:t>
            </w:r>
            <w:r>
              <w:rPr>
                <w:rStyle w:val="VerbatimChar"/>
              </w:rPr>
              <w:t xml:space="preserve">items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item_history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meta</w:t>
            </w:r>
            <w:r>
              <w:t xml:space="preserve">), the 10-value status closed set, the</w:t>
            </w:r>
            <w:r>
              <w:t xml:space="preserve"> </w:t>
            </w:r>
            <w:r>
              <w:rPr>
                <w:rStyle w:val="VerbatimChar"/>
              </w:rPr>
              <w:t xml:space="preserve">Store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Repo</w:t>
            </w:r>
            <w:r>
              <w:t xml:space="preserve"> </w:t>
            </w:r>
            <w:r>
              <w:t xml:space="preserve">CRUD API, the</w:t>
            </w:r>
            <w:r>
              <w:t xml:space="preserve"> </w:t>
            </w:r>
            <w:r>
              <w:rPr>
                <w:rStyle w:val="VerbatimChar"/>
              </w:rPr>
              <w:t xml:space="preserve">Diff</w:t>
            </w:r>
            <w:r>
              <w:t xml:space="preserve"> </w:t>
            </w:r>
            <w:r>
              <w:t xml:space="preserve">change-feed (5 Change Kinds), and</w:t>
            </w:r>
            <w:r>
              <w:t xml:space="preserve"> </w:t>
            </w:r>
            <w:r>
              <w:rPr>
                <w:rStyle w:val="VerbatimChar"/>
              </w:rPr>
              <w:t xml:space="preserve">ParseTracker</w:t>
            </w:r>
            <w:r>
              <w:t xml:space="preserve"> </w:t>
            </w:r>
            <w:r>
              <w:t xml:space="preserve">(ATMOSphere's real</w:t>
            </w:r>
            <w:r>
              <w:t xml:space="preserve"> </w:t>
            </w:r>
            <w:r>
              <w:rPr>
                <w:rStyle w:val="VerbatimChar"/>
              </w:rPr>
              <w:t xml:space="preserve">## §… [ATM-NNN]</w:t>
            </w:r>
            <w:r>
              <w:t xml:space="preserve"> </w:t>
            </w:r>
            <w:r>
              <w:t xml:space="preserve">Markdown format). ANTI-BLUFF: every section documents only what the source under</w:t>
            </w:r>
            <w:r>
              <w:t xml:space="preserve"> </w:t>
            </w:r>
            <w:r>
              <w:rPr>
                <w:rStyle w:val="VerbatimChar"/>
              </w:rPr>
              <w:t xml:space="preserve">commons_workable/</w:t>
            </w:r>
            <w:r>
              <w:t xml:space="preserve"> </w:t>
            </w:r>
            <w:r>
              <w:t xml:space="preserve">actually does as of this revision; not-yet-built call sites are marked PLANNED and never implied to work.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(none specific to this guide)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bump when the DB is materialized at the canonical</w:t>
            </w:r>
            <w:r>
              <w:t xml:space="preserve"> </w:t>
            </w:r>
            <w:r>
              <w:rPr>
                <w:rStyle w:val="VerbatimChar"/>
              </w:rPr>
              <w:t xml:space="preserve">docs/workable_items.db</w:t>
            </w:r>
            <w:r>
              <w:t xml:space="preserve"> </w:t>
            </w:r>
            <w:r>
              <w:t xml:space="preserve">path (HRD-131 / HRD-155), when</w:t>
            </w:r>
            <w:r>
              <w:t xml:space="preserve"> </w:t>
            </w:r>
            <w:r>
              <w:rPr>
                <w:rStyle w:val="VerbatimChar"/>
              </w:rPr>
              <w:t xml:space="preserve">item_history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meta</w:t>
            </w:r>
            <w:r>
              <w:t xml:space="preserve"> </w:t>
            </w:r>
            <w:r>
              <w:t xml:space="preserve">gain a typed Go API beyond raw</w:t>
            </w:r>
            <w:r>
              <w:t xml:space="preserve"> </w:t>
            </w:r>
            <w:r>
              <w:rPr>
                <w:rStyle w:val="VerbatimChar"/>
              </w:rPr>
              <w:t xml:space="preserve">Store.DB()</w:t>
            </w:r>
            <w:r>
              <w:t xml:space="preserve">, and when the bidirectional MD↔SQLite regenerator lands (HRD-150).</w:t>
            </w:r>
          </w:p>
        </w:tc>
      </w:tr>
    </w:tbl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c8951b796c7b61cbdd4998c72efbdeed0056e13">
        <w:r>
          <w:rPr>
            <w:rStyle w:val="Hyperlink"/>
          </w:rPr>
          <w:t xml:space="preserve">§1. Overview</w:t>
        </w:r>
      </w:hyperlink>
    </w:p>
    <w:p>
      <w:pPr>
        <w:pStyle w:val="Compact"/>
        <w:numPr>
          <w:ilvl w:val="0"/>
          <w:numId w:val="1001"/>
        </w:numPr>
      </w:pPr>
      <w:hyperlink w:anchor="X63ff2c97397a2f88738ec056540af0bbf9f2bd0">
        <w:r>
          <w:rPr>
            <w:rStyle w:val="Hyperlink"/>
          </w:rPr>
          <w:t xml:space="preserve">§2. The schema</w:t>
        </w:r>
      </w:hyperlink>
    </w:p>
    <w:p>
      <w:pPr>
        <w:pStyle w:val="Compact"/>
        <w:numPr>
          <w:ilvl w:val="0"/>
          <w:numId w:val="1001"/>
        </w:numPr>
      </w:pPr>
      <w:hyperlink w:anchor="Xe6b4da992c7d9bd6e4bd1cd03e267e5fb79b3d8">
        <w:r>
          <w:rPr>
            <w:rStyle w:val="Hyperlink"/>
          </w:rPr>
          <w:t xml:space="preserve">§3. The Store API</w:t>
        </w:r>
      </w:hyperlink>
    </w:p>
    <w:p>
      <w:pPr>
        <w:pStyle w:val="Compact"/>
        <w:numPr>
          <w:ilvl w:val="0"/>
          <w:numId w:val="1001"/>
        </w:numPr>
      </w:pPr>
      <w:hyperlink w:anchor="Xc84de9b524b3d0c19301279f6e45d48d43612e3">
        <w:r>
          <w:rPr>
            <w:rStyle w:val="Hyperlink"/>
          </w:rPr>
          <w:t xml:space="preserve">§4. The Repo CRUD API</w:t>
        </w:r>
      </w:hyperlink>
    </w:p>
    <w:p>
      <w:pPr>
        <w:pStyle w:val="Compact"/>
        <w:numPr>
          <w:ilvl w:val="0"/>
          <w:numId w:val="1001"/>
        </w:numPr>
      </w:pPr>
      <w:hyperlink w:anchor="X12102f210cd8e45d801596750691487318be0aa">
        <w:r>
          <w:rPr>
            <w:rStyle w:val="Hyperlink"/>
          </w:rPr>
          <w:t xml:space="preserve">§5. The Diff change-feed</w:t>
        </w:r>
      </w:hyperlink>
    </w:p>
    <w:p>
      <w:pPr>
        <w:pStyle w:val="Compact"/>
        <w:numPr>
          <w:ilvl w:val="0"/>
          <w:numId w:val="1001"/>
        </w:numPr>
      </w:pPr>
      <w:hyperlink w:anchor="Xd83b0431a5d9ff291a3514d93c505fdba99c349">
        <w:r>
          <w:rPr>
            <w:rStyle w:val="Hyperlink"/>
          </w:rPr>
          <w:t xml:space="preserve">§6. ParseTracker — the Markdown reader</w:t>
        </w:r>
      </w:hyperlink>
    </w:p>
    <w:p>
      <w:pPr>
        <w:pStyle w:val="Compact"/>
        <w:numPr>
          <w:ilvl w:val="0"/>
          <w:numId w:val="1001"/>
        </w:numPr>
      </w:pPr>
      <w:hyperlink w:anchor="Xa5aebdcb3e2bc6e45c36edb4093e26071dde0d0">
        <w:r>
          <w:rPr>
            <w:rStyle w:val="Hyperlink"/>
          </w:rPr>
          <w:t xml:space="preserve">§7. Pure-Go SQLite — why no CGO</w:t>
        </w:r>
      </w:hyperlink>
    </w:p>
    <w:p>
      <w:pPr>
        <w:pStyle w:val="Compact"/>
        <w:numPr>
          <w:ilvl w:val="0"/>
          <w:numId w:val="1001"/>
        </w:numPr>
      </w:pPr>
      <w:hyperlink w:anchor="X7fc97b9f2dcc61821c5cf0414c8eef033243b12">
        <w:r>
          <w:rPr>
            <w:rStyle w:val="Hyperlink"/>
          </w:rPr>
          <w:t xml:space="preserve">§8. Usage examples</w:t>
        </w:r>
      </w:hyperlink>
    </w:p>
    <w:p>
      <w:pPr>
        <w:pStyle w:val="Compact"/>
        <w:numPr>
          <w:ilvl w:val="0"/>
          <w:numId w:val="1001"/>
        </w:numPr>
      </w:pPr>
      <w:hyperlink w:anchor="X9e3d161fa7cfe07773ec589d3b317060b89b7de">
        <w:r>
          <w:rPr>
            <w:rStyle w:val="Hyperlink"/>
          </w:rPr>
          <w:t xml:space="preserve">§9. Testing notes</w:t>
        </w:r>
      </w:hyperlink>
    </w:p>
    <w:p>
      <w:pPr>
        <w:pStyle w:val="Compact"/>
        <w:numPr>
          <w:ilvl w:val="0"/>
          <w:numId w:val="1001"/>
        </w:numPr>
      </w:pPr>
      <w:hyperlink w:anchor="X3b4c3db7819ed66f453f0c9b146c43e80460b49">
        <w:r>
          <w:rPr>
            <w:rStyle w:val="Hyperlink"/>
          </w:rPr>
          <w:t xml:space="preserve">§10. References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c8951b796c7b61cbdd4998c72efbdeed0056e13"/>
    <w:p>
      <w:pPr>
        <w:pStyle w:val="Heading2"/>
      </w:pPr>
      <w:r>
        <w:t xml:space="preserve">§1. Overview</w:t>
      </w:r>
    </w:p>
    <w:p>
      <w:pPr>
        <w:pStyle w:val="FirstParagraph"/>
      </w:pPr>
      <w:r>
        <w:rPr>
          <w:rStyle w:val="VerbatimChar"/>
        </w:rPr>
        <w:t xml:space="preserve">commons_workable</w:t>
      </w:r>
      <w:r>
        <w:t xml:space="preserve"> </w:t>
      </w:r>
      <w:r>
        <w:t xml:space="preserve">(Go package</w:t>
      </w:r>
      <w:r>
        <w:t xml:space="preserve"> </w:t>
      </w:r>
      <w:r>
        <w:rPr>
          <w:rStyle w:val="VerbatimChar"/>
        </w:rPr>
        <w:t xml:space="preserve">workable</w:t>
      </w:r>
      <w:r>
        <w:t xml:space="preserve">, module path</w:t>
      </w:r>
      <w:r>
        <w:t xml:space="preserve"> </w:t>
      </w:r>
      <w:r>
        <w:rPr>
          <w:rStyle w:val="VerbatimChar"/>
        </w:rPr>
        <w:t xml:space="preserve">github.com/vasic-digital/herald/commons_workable</w:t>
      </w:r>
      <w:r>
        <w:t xml:space="preserve">) is the keystone of the ATMOSphere↔Herald workable-items integration. It mirrors ATMOSphere's workable-items SQLite SSoT schema</w:t>
      </w:r>
      <w:r>
        <w:t xml:space="preserve"> </w:t>
      </w:r>
      <w:r>
        <w:rPr>
          <w:b/>
          <w:bCs/>
        </w:rPr>
        <w:t xml:space="preserve">verbatim</w:t>
      </w:r>
      <w:r>
        <w:t xml:space="preserve"> </w:t>
      </w:r>
      <w:r>
        <w:t xml:space="preserve">so that a database file created by either project is interchangeable, and provides four building blocks: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Building block</w:t>
            </w:r>
          </w:p>
        </w:tc>
        <w:tc>
          <w:tcPr/>
          <w:p>
            <w:pPr>
              <w:pStyle w:val="Compact"/>
            </w:pPr>
            <w:r>
              <w:t xml:space="preserve">Source file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store.go</w:t>
            </w:r>
          </w:p>
        </w:tc>
        <w:tc>
          <w:tcPr/>
          <w:p>
            <w:pPr>
              <w:pStyle w:val="Compact"/>
            </w:pPr>
            <w:r>
              <w:t xml:space="preserve">Schema-applying connection holder (WAL + foreign-keys pragmas).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crud.go</w:t>
            </w:r>
          </w:p>
        </w:tc>
        <w:tc>
          <w:tcPr/>
          <w:p>
            <w:pPr>
              <w:pStyle w:val="Compact"/>
            </w:pPr>
            <w:r>
              <w:t xml:space="preserve">CRUD repository over the</w:t>
            </w:r>
            <w:r>
              <w:t xml:space="preserve"> </w:t>
            </w:r>
            <w:r>
              <w:rPr>
                <w:rStyle w:val="VerbatimChar"/>
              </w:rPr>
              <w:t xml:space="preserve">items</w:t>
            </w:r>
            <w:r>
              <w:t xml:space="preserve"> </w:t>
            </w:r>
            <w:r>
              <w:t xml:space="preserve">table with status validation.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StatusValues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item.go</w:t>
            </w:r>
          </w:p>
        </w:tc>
        <w:tc>
          <w:tcPr/>
          <w:p>
            <w:pPr>
              <w:pStyle w:val="Compact"/>
            </w:pPr>
            <w:r>
              <w:t xml:space="preserve">The row mapping + the 10-value status closed set.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Diff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Change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changefeed.go</w:t>
            </w:r>
          </w:p>
        </w:tc>
        <w:tc>
          <w:tcPr/>
          <w:p>
            <w:pPr>
              <w:pStyle w:val="Compact"/>
            </w:pPr>
            <w:r>
              <w:t xml:space="preserve">Per-property change feed between two item snapshots.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ParseTracker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parser.go</w:t>
            </w:r>
          </w:p>
        </w:tc>
        <w:tc>
          <w:tcPr/>
          <w:p>
            <w:pPr>
              <w:pStyle w:val="Compact"/>
            </w:pPr>
            <w:r>
              <w:t xml:space="preserve">Tolerant parser for ATMOSphere's real Markdown tracker format.</w:t>
            </w:r>
          </w:p>
        </w:tc>
      </w:tr>
    </w:tbl>
    <w:p>
      <w:pPr>
        <w:pStyle w:val="BodyText"/>
      </w:pPr>
      <w:r>
        <w:t xml:space="preserve">The package doc (top of</w:t>
      </w:r>
      <w:r>
        <w:t xml:space="preserve"> </w:t>
      </w:r>
      <w:r>
        <w:rPr>
          <w:rStyle w:val="VerbatimChar"/>
        </w:rPr>
        <w:t xml:space="preserve">store.go</w:t>
      </w:r>
      <w:r>
        <w:t xml:space="preserve">) states the contract directly: it "mirrors ATMOSphere's workable-items SQLite SSoT so that Herald and ATMOSphere can share one database file."</w:t>
      </w:r>
    </w:p>
    <w:p>
      <w:pPr>
        <w:pStyle w:val="BodyText"/>
      </w:pPr>
      <w:r>
        <w:t xml:space="preserve">This module sits at the L0/commons layer and is consumed by the watch + workflow bridge (see</w:t>
      </w:r>
      <w:r>
        <w:t xml:space="preserve"> </w:t>
      </w:r>
      <w:r>
        <w:rPr>
          <w:rStyle w:val="VerbatimChar"/>
        </w:rPr>
        <w:t xml:space="preserve">commons_watch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docs/guides/COMMONS_WATCH.md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docs/guides/WORKABLE_ITEMS_INTEGRATION.md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Path note (PLANNED reconciliation).</w:t>
      </w:r>
      <w:r>
        <w:t xml:space="preserve"> </w:t>
      </w:r>
      <w:r>
        <w:t xml:space="preserve">Per Helix §11.4.95, the constitution's canonical on-disk path for the committed DB is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(no leading dot). Materialization of the live committed DB at that path is tracked work (HRD-131 / HRD-155) and is not performed by this module —</w:t>
      </w:r>
      <w:r>
        <w:t xml:space="preserve"> </w:t>
      </w:r>
      <w:r>
        <w:rPr>
          <w:rStyle w:val="VerbatimChar"/>
        </w:rPr>
        <w:t xml:space="preserve">commons_workable</w:t>
      </w:r>
      <w:r>
        <w:t xml:space="preserve"> </w:t>
      </w:r>
      <w:r>
        <w:t xml:space="preserve">only opens whatever path a caller hands</w:t>
      </w:r>
      <w:r>
        <w:t xml:space="preserve"> </w:t>
      </w:r>
      <w:r>
        <w:rPr>
          <w:rStyle w:val="VerbatimChar"/>
        </w:rPr>
        <w:t xml:space="preserve">Open()</w:t>
      </w:r>
      <w:r>
        <w:t xml:space="preserve">.</w:t>
      </w:r>
    </w:p>
    <w:bookmarkEnd w:id="10"/>
    <w:bookmarkStart w:id="16" w:name="X63ff2c97397a2f88738ec056540af0bbf9f2bd0"/>
    <w:p>
      <w:pPr>
        <w:pStyle w:val="Heading2"/>
      </w:pPr>
      <w:r>
        <w:t xml:space="preserve">§2. The schema</w:t>
      </w:r>
    </w:p>
    <w:p>
      <w:pPr>
        <w:pStyle w:val="FirstParagraph"/>
      </w:pPr>
      <w:r>
        <w:t xml:space="preserve">The canonical DDL is the</w:t>
      </w:r>
      <w:r>
        <w:t xml:space="preserve"> </w:t>
      </w:r>
      <w:r>
        <w:rPr>
          <w:rStyle w:val="VerbatimChar"/>
        </w:rPr>
        <w:t xml:space="preserve">schemaDDL</w:t>
      </w:r>
      <w:r>
        <w:t xml:space="preserve"> </w:t>
      </w:r>
      <w:r>
        <w:t xml:space="preserve">constant in</w:t>
      </w:r>
      <w:r>
        <w:t xml:space="preserve"> </w:t>
      </w:r>
      <w:r>
        <w:rPr>
          <w:rStyle w:val="VerbatimChar"/>
        </w:rPr>
        <w:t xml:space="preserve">store.go</w:t>
      </w:r>
      <w:r>
        <w:t xml:space="preserve">, applied idempotently (</w:t>
      </w:r>
      <w:r>
        <w:rPr>
          <w:rStyle w:val="VerbatimChar"/>
        </w:rPr>
        <w:t xml:space="preserve">CREATE TABLE IF NOT EXISTS</w:t>
      </w:r>
      <w:r>
        <w:t xml:space="preserve">) on every</w:t>
      </w:r>
      <w:r>
        <w:t xml:space="preserve"> </w:t>
      </w:r>
      <w:r>
        <w:rPr>
          <w:rStyle w:val="VerbatimChar"/>
        </w:rPr>
        <w:t xml:space="preserve">Open()</w:t>
      </w:r>
      <w:r>
        <w:t xml:space="preserve">. It defines three tables.</w:t>
      </w:r>
    </w:p>
    <w:bookmarkStart w:id="11" w:name="Xd7e3d2d4bb7e668e03e88362a3c2e254a51fcbb"/>
    <w:p>
      <w:pPr>
        <w:pStyle w:val="Heading3"/>
      </w:pPr>
      <w:r>
        <w:t xml:space="preserve">§2.1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 </w:t>
      </w:r>
      <w:r>
        <w:t xml:space="preserve">— the workable-item rows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 / constraint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atm_id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 NOT NULL</w:t>
            </w:r>
          </w:p>
        </w:tc>
        <w:tc>
          <w:tcPr/>
          <w:p>
            <w:pPr>
              <w:pStyle w:val="Compact"/>
            </w:pPr>
            <w:r>
              <w:t xml:space="preserve">e.g.</w:t>
            </w:r>
            <w:r>
              <w:t xml:space="preserve"> </w:t>
            </w:r>
            <w:r>
              <w:rPr>
                <w:rStyle w:val="VerbatimChar"/>
              </w:rPr>
              <w:t xml:space="preserve">ATM-238</w:t>
            </w:r>
            <w:r>
              <w:t xml:space="preserve">. Part of the composite PK.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 CHECK (type IN ('Bug','Feature','Task'))</w:t>
            </w:r>
          </w:p>
        </w:tc>
        <w:tc>
          <w:tcPr/>
          <w:p>
            <w:pPr>
              <w:pStyle w:val="Compact"/>
            </w:pPr>
            <w:r>
              <w:t xml:space="preserve">May be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for a non-item heading the parser skips.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One of the 10 status values (see §2.4); validated in Go, not by a DB CHECK.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severity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Free-text severity label.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Human-readable title.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Description prose.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forensic_anchor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The §11.4-style forensic anchor.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closure_criteria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Closure criteria text.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composes_with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A JSON array stored as text, e.g.</w:t>
            </w:r>
            <w:r>
              <w:t xml:space="preserve"> </w:t>
            </w:r>
            <w:r>
              <w:rPr>
                <w:rStyle w:val="VerbatimChar"/>
              </w:rPr>
              <w:t xml:space="preserve">["ATM-100"]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current_location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 CHECK (current_location IN ('Issues','Fixed')) DEFAULT 'Issues'</w:t>
            </w:r>
          </w:p>
        </w:tc>
        <w:tc>
          <w:tcPr/>
          <w:p>
            <w:pPr>
              <w:pStyle w:val="Compact"/>
            </w:pPr>
            <w:r>
              <w:t xml:space="preserve">Part of the composite PK.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body_md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The raw Markdown body block under the item heading.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ISO date string.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last_modified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ISO date string.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Composite primary key: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PRIMARY KEY (atm_id, current_location)</w:t>
      </w:r>
      <w:r>
        <w:rPr>
          <w:b/>
          <w:bCs/>
        </w:rPr>
        <w:t xml:space="preserve">.</w:t>
      </w:r>
      <w:r>
        <w:t xml:space="preserve"> </w:t>
      </w:r>
      <w:r>
        <w:t xml:space="preserve">A single</w:t>
      </w:r>
      <w:r>
        <w:t xml:space="preserve"> </w:t>
      </w:r>
      <w:r>
        <w:rPr>
          <w:rStyle w:val="VerbatimChar"/>
        </w:rPr>
        <w:t xml:space="preserve">ATM-NNN</w:t>
      </w:r>
      <w:r>
        <w:t xml:space="preserve"> </w:t>
      </w:r>
      <w:r>
        <w:t xml:space="preserve">id can therefore exist once in</w:t>
      </w:r>
      <w:r>
        <w:t xml:space="preserve"> </w:t>
      </w:r>
      <w:r>
        <w:rPr>
          <w:rStyle w:val="VerbatimChar"/>
        </w:rPr>
        <w:t xml:space="preserve">Issues</w:t>
      </w:r>
      <w:r>
        <w:t xml:space="preserve"> </w:t>
      </w:r>
      <w:r>
        <w:t xml:space="preserve">and once in</w:t>
      </w:r>
      <w:r>
        <w:t xml:space="preserve"> </w:t>
      </w:r>
      <w:r>
        <w:rPr>
          <w:rStyle w:val="VerbatimChar"/>
        </w:rPr>
        <w:t xml:space="preserve">Fixed</w:t>
      </w:r>
      <w:r>
        <w:t xml:space="preserve"> </w:t>
      </w:r>
      <w:r>
        <w:t xml:space="preserve">simultaneously — the location is part of the identity, which is what makes the §11.4.19 atomic Issues→Fixed migration representable as two rows rather than one mutable row.</w:t>
      </w:r>
    </w:p>
    <w:bookmarkEnd w:id="11"/>
    <w:bookmarkStart w:id="12" w:name="X4fc793686cc7aaf4a50da246c7207dfa004ec59"/>
    <w:p>
      <w:pPr>
        <w:pStyle w:val="Heading3"/>
      </w:pPr>
      <w:r>
        <w:t xml:space="preserve">§2.2</w:t>
      </w:r>
      <w:r>
        <w:t xml:space="preserve"> </w:t>
      </w:r>
      <w:r>
        <w:rPr>
          <w:rStyle w:val="VerbatimChar"/>
        </w:rPr>
        <w:t xml:space="preserve">item_history</w:t>
      </w:r>
      <w:r>
        <w:t xml:space="preserve"> </w:t>
      </w:r>
      <w:r>
        <w:t xml:space="preserve">— the lifecycle event 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 / constraint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 PRIMARY KEY AUTOINCREMENT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atm_id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 CHECK (event_type IN ('Opened','Updated','Reopened','Fixed','Implemented','Completed','Obsolete'))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 CHECK (by IN ('AI','User'))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on_date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</w:tr>
    </w:tbl>
    <w:p>
      <w:pPr>
        <w:pStyle w:val="BodyText"/>
      </w:pPr>
      <w:r>
        <w:t xml:space="preserve">This table is created by</w:t>
      </w:r>
      <w:r>
        <w:t xml:space="preserve"> </w:t>
      </w:r>
      <w:r>
        <w:rPr>
          <w:rStyle w:val="VerbatimChar"/>
        </w:rPr>
        <w:t xml:space="preserve">Open()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has no typed Go API in this module today.</w:t>
      </w:r>
      <w:r>
        <w:t xml:space="preserve"> </w:t>
      </w:r>
      <w:r>
        <w:t xml:space="preserve">Callers that need to write or read history use the raw</w:t>
      </w:r>
      <w:r>
        <w:t xml:space="preserve"> </w:t>
      </w:r>
      <w:r>
        <w:rPr>
          <w:rStyle w:val="VerbatimChar"/>
        </w:rPr>
        <w:t xml:space="preserve">*sql.DB</w:t>
      </w:r>
      <w:r>
        <w:t xml:space="preserve"> </w:t>
      </w:r>
      <w:r>
        <w:t xml:space="preserve">exposed by</w:t>
      </w:r>
      <w:r>
        <w:t xml:space="preserve"> </w:t>
      </w:r>
      <w:r>
        <w:rPr>
          <w:rStyle w:val="VerbatimChar"/>
        </w:rPr>
        <w:t xml:space="preserve">Store.DB()</w:t>
      </w:r>
      <w:r>
        <w:t xml:space="preserve"> </w:t>
      </w:r>
      <w:r>
        <w:t xml:space="preserve">(see §3). A typed history API is PLANNED.</w:t>
      </w:r>
    </w:p>
    <w:bookmarkEnd w:id="12"/>
    <w:bookmarkStart w:id="13" w:name="X3c99789a0f8e87ee51e76c1576bc2e30273267d"/>
    <w:p>
      <w:pPr>
        <w:pStyle w:val="Heading3"/>
      </w:pPr>
      <w:r>
        <w:t xml:space="preserve">§2.3</w:t>
      </w:r>
      <w:r>
        <w:t xml:space="preserve"> </w:t>
      </w:r>
      <w:r>
        <w:rPr>
          <w:rStyle w:val="VerbatimChar"/>
        </w:rPr>
        <w:t xml:space="preserve">meta</w:t>
      </w:r>
      <w:r>
        <w:t xml:space="preserve"> </w:t>
      </w:r>
      <w:r>
        <w:t xml:space="preserve">— key/value metadata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 / constraint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 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last_modified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</w:tr>
    </w:tbl>
    <w:p>
      <w:pPr>
        <w:pStyle w:val="BodyText"/>
      </w:pPr>
      <w:r>
        <w:t xml:space="preserve">Also created by</w:t>
      </w:r>
      <w:r>
        <w:t xml:space="preserve"> </w:t>
      </w:r>
      <w:r>
        <w:rPr>
          <w:rStyle w:val="VerbatimChar"/>
        </w:rPr>
        <w:t xml:space="preserve">Open()</w:t>
      </w:r>
      <w:r>
        <w:t xml:space="preserve">; accessed via</w:t>
      </w:r>
      <w:r>
        <w:t xml:space="preserve"> </w:t>
      </w:r>
      <w:r>
        <w:rPr>
          <w:rStyle w:val="VerbatimChar"/>
        </w:rPr>
        <w:t xml:space="preserve">Store.DB()</w:t>
      </w:r>
      <w:r>
        <w:t xml:space="preserve"> </w:t>
      </w:r>
      <w:r>
        <w:t xml:space="preserve">only (no typed API yet).</w:t>
      </w:r>
    </w:p>
    <w:bookmarkEnd w:id="13"/>
    <w:bookmarkStart w:id="14" w:name="X8728fd9223fed08670f851741b5a0e6cacc6d69"/>
    <w:p>
      <w:pPr>
        <w:pStyle w:val="Heading3"/>
      </w:pPr>
      <w:r>
        <w:t xml:space="preserve">§2.4 The 10-value status closed set</w:t>
      </w:r>
    </w:p>
    <w:p>
      <w:pPr>
        <w:pStyle w:val="FirstParagraph"/>
      </w:pPr>
      <w:r>
        <w:rPr>
          <w:rStyle w:val="VerbatimChar"/>
        </w:rPr>
        <w:t xml:space="preserve">StatusValues</w:t>
      </w:r>
      <w:r>
        <w:t xml:space="preserve"> </w:t>
      </w:r>
      <w:r>
        <w:t xml:space="preserve">(</w:t>
      </w:r>
      <w:r>
        <w:rPr>
          <w:rStyle w:val="VerbatimChar"/>
        </w:rPr>
        <w:t xml:space="preserve">item.go</w:t>
      </w:r>
      <w:r>
        <w:t xml:space="preserve">) is the canonical closed set.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reject any status outside it before any DB access.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Status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Ready for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Reopened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Operator-blocked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Fixed (→ Fixed.md)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Implemented (→ Fixed.md)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 (→ Fixed.md)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Obsolete (→ Fixed.md)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ValidStatus(status string) bool</w:t>
      </w:r>
      <w:r>
        <w:t xml:space="preserve"> </w:t>
      </w:r>
      <w:r>
        <w:t xml:space="preserve">reports membership; it is backed by a precomputed</w:t>
      </w:r>
      <w:r>
        <w:t xml:space="preserve"> </w:t>
      </w:r>
      <w:r>
        <w:rPr>
          <w:rStyle w:val="VerbatimChar"/>
        </w:rPr>
        <w:t xml:space="preserve">statusSet</w:t>
      </w:r>
      <w:r>
        <w:t xml:space="preserve"> </w:t>
      </w:r>
      <w:r>
        <w:t xml:space="preserve">map for O(1) lookup. Note the four terminal</w:t>
      </w:r>
      <w:r>
        <w:t xml:space="preserve"> </w:t>
      </w:r>
      <w:r>
        <w:rPr>
          <w:rStyle w:val="VerbatimChar"/>
        </w:rPr>
        <w:t xml:space="preserve">(→ Fixed.md)</w:t>
      </w:r>
      <w:r>
        <w:t xml:space="preserve"> </w:t>
      </w:r>
      <w:r>
        <w:t xml:space="preserve">values (7–10) correspond to the four</w:t>
      </w:r>
      <w:r>
        <w:t xml:space="preserve"> </w:t>
      </w:r>
      <w:r>
        <w:rPr>
          <w:rStyle w:val="VerbatimChar"/>
        </w:rPr>
        <w:t xml:space="preserve">current_location='Fixed'</w:t>
      </w:r>
      <w:r>
        <w:t xml:space="preserve"> </w:t>
      </w:r>
      <w:r>
        <w:t xml:space="preserve">outcomes.</w:t>
      </w:r>
    </w:p>
    <w:bookmarkEnd w:id="14"/>
    <w:bookmarkStart w:id="15" w:name="X7f3007b7710c5e63ee0b924eb0feb5cfcd3b38d"/>
    <w:p>
      <w:pPr>
        <w:pStyle w:val="Heading3"/>
      </w:pPr>
      <w:r>
        <w:t xml:space="preserve">§2.5 WAL + foreign keys</w:t>
      </w:r>
    </w:p>
    <w:p>
      <w:pPr>
        <w:pStyle w:val="FirstParagraph"/>
      </w:pPr>
      <w:r>
        <w:rPr>
          <w:rStyle w:val="VerbatimChar"/>
        </w:rPr>
        <w:t xml:space="preserve">Open()</w:t>
      </w:r>
      <w:r>
        <w:t xml:space="preserve"> </w:t>
      </w:r>
      <w:r>
        <w:t xml:space="preserve">issues</w:t>
      </w:r>
      <w:r>
        <w:t xml:space="preserve"> </w:t>
      </w:r>
      <w:r>
        <w:rPr>
          <w:rStyle w:val="VerbatimChar"/>
        </w:rPr>
        <w:t xml:space="preserve">PRAGMA journal_mode=WAL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PRAGMA foreign_keys=ON</w:t>
      </w:r>
      <w:r>
        <w:t xml:space="preserve">, and pins the pool to a single connection (</w:t>
      </w:r>
      <w:r>
        <w:rPr>
          <w:rStyle w:val="VerbatimChar"/>
        </w:rPr>
        <w:t xml:space="preserve">db.SetMaxOpenConns(1)</w:t>
      </w:r>
      <w:r>
        <w:t xml:space="preserve">) so those connection-scoped pragmas hold for every query the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 </w:t>
      </w:r>
      <w:r>
        <w:t xml:space="preserve">issues. WAL is the mode that makes the</w:t>
      </w:r>
      <w:r>
        <w:t xml:space="preserve"> </w:t>
      </w:r>
      <w:r>
        <w:rPr>
          <w:rStyle w:val="VerbatimChar"/>
        </w:rPr>
        <w:t xml:space="preserve">commons_watch</w:t>
      </w:r>
      <w:r>
        <w:t xml:space="preserve"> </w:t>
      </w:r>
      <w:r>
        <w:t xml:space="preserve">WAL-poll fallback necessary — see</w:t>
      </w:r>
      <w:r>
        <w:t xml:space="preserve"> </w:t>
      </w:r>
      <w:r>
        <w:rPr>
          <w:rStyle w:val="VerbatimChar"/>
        </w:rPr>
        <w:t xml:space="preserve">docs/guides/COMMONS_WATCH.md</w:t>
      </w:r>
      <w:r>
        <w:t xml:space="preserve"> </w:t>
      </w:r>
      <w:r>
        <w:t xml:space="preserve">§3.</w:t>
      </w:r>
    </w:p>
    <w:bookmarkEnd w:id="15"/>
    <w:bookmarkEnd w:id="16"/>
    <w:bookmarkStart w:id="17" w:name="Xe6b4da992c7d9bd6e4bd1cd03e267e5fb79b3d8"/>
    <w:p>
      <w:pPr>
        <w:pStyle w:val="Heading2"/>
      </w:pPr>
      <w:r>
        <w:t xml:space="preserve">§3. The Store API</w:t>
      </w:r>
    </w:p>
    <w:p>
      <w:pPr>
        <w:pStyle w:val="FirstParagraph"/>
      </w:pPr>
      <w:r>
        <w:rPr>
          <w:rStyle w:val="VerbatimChar"/>
        </w:rPr>
        <w:t xml:space="preserve">Store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store.go</w:t>
      </w:r>
      <w:r>
        <w:t xml:space="preserve">) holds one open</w:t>
      </w:r>
      <w:r>
        <w:t xml:space="preserve"> </w:t>
      </w:r>
      <w:r>
        <w:rPr>
          <w:rStyle w:val="VerbatimChar"/>
        </w:rPr>
        <w:t xml:space="preserve">*sql.DB</w:t>
      </w:r>
      <w:r>
        <w:t xml:space="preserve"> </w:t>
      </w:r>
      <w:r>
        <w:t xml:space="preserve">with the schema applied.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 / method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Open(path string) (*Store, error)</w:t>
            </w:r>
          </w:p>
        </w:tc>
        <w:tc>
          <w:tcPr/>
          <w:p>
            <w:pPr>
              <w:pStyle w:val="Compact"/>
            </w:pPr>
            <w:r>
              <w:t xml:space="preserve">Opens (creating if absent) the SQLite DB at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, pins to a single connection, enables WAL + foreign keys, then applies</w:t>
            </w:r>
            <w:r>
              <w:t xml:space="preserve"> </w:t>
            </w:r>
            <w:r>
              <w:rPr>
                <w:rStyle w:val="VerbatimChar"/>
              </w:rPr>
              <w:t xml:space="preserve">schemaDDL</w:t>
            </w:r>
            <w:r>
              <w:t xml:space="preserve"> </w:t>
            </w:r>
            <w:r>
              <w:t xml:space="preserve">idempotently. Wraps every failure with a</w:t>
            </w:r>
            <w:r>
              <w:t xml:space="preserve"> </w:t>
            </w:r>
            <w:r>
              <w:rPr>
                <w:rStyle w:val="VerbatimChar"/>
              </w:rPr>
              <w:t xml:space="preserve">workable:</w:t>
            </w:r>
            <w:r>
              <w:t xml:space="preserve"> </w:t>
            </w:r>
            <w:r>
              <w:t xml:space="preserve">prefix and closes the half-open handle on error.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(*Store) 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DB() *sql.DB</w:t>
            </w:r>
          </w:p>
        </w:tc>
        <w:tc>
          <w:tcPr/>
          <w:p>
            <w:pPr>
              <w:pStyle w:val="Compact"/>
            </w:pPr>
            <w:r>
              <w:t xml:space="preserve">Exposes the underlying</w:t>
            </w:r>
            <w:r>
              <w:t xml:space="preserve"> </w:t>
            </w:r>
            <w:r>
              <w:rPr>
                <w:rStyle w:val="VerbatimChar"/>
              </w:rPr>
              <w:t xml:space="preserve">*sql.DB</w:t>
            </w:r>
            <w:r>
              <w:t xml:space="preserve"> </w:t>
            </w:r>
            <w:r>
              <w:t xml:space="preserve">for raw access —</w:t>
            </w:r>
            <w:r>
              <w:t xml:space="preserve"> </w:t>
            </w:r>
            <w:r>
              <w:rPr>
                <w:rStyle w:val="VerbatimChar"/>
              </w:rPr>
              <w:t xml:space="preserve">item_history</w:t>
            </w:r>
            <w:r>
              <w:t xml:space="preserve"> </w:t>
            </w:r>
            <w:r>
              <w:t xml:space="preserve">inserts,</w:t>
            </w:r>
            <w:r>
              <w:t xml:space="preserve"> </w:t>
            </w:r>
            <w:r>
              <w:rPr>
                <w:rStyle w:val="VerbatimChar"/>
              </w:rPr>
              <w:t xml:space="preserve">meta</w:t>
            </w:r>
            <w:r>
              <w:t xml:space="preserve"> </w:t>
            </w:r>
            <w:r>
              <w:t xml:space="preserve">reads, and tests.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(*Store) Close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Close() error</w:t>
            </w:r>
          </w:p>
        </w:tc>
        <w:tc>
          <w:tcPr/>
          <w:p>
            <w:pPr>
              <w:pStyle w:val="Compact"/>
            </w:pPr>
            <w:r>
              <w:t xml:space="preserve">Releases the underlying connection pool.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Open</w:t>
      </w:r>
      <w:r>
        <w:t xml:space="preserve"> </w:t>
      </w:r>
      <w:r>
        <w:t xml:space="preserve">is safe to call repeatedly against the same file — schema application is idempotent (verified by</w:t>
      </w:r>
      <w:r>
        <w:t xml:space="preserve"> </w:t>
      </w:r>
      <w:r>
        <w:rPr>
          <w:rStyle w:val="VerbatimChar"/>
        </w:rPr>
        <w:t xml:space="preserve">TestOpen_CreatesSchemaIdempotently</w:t>
      </w:r>
      <w:r>
        <w:t xml:space="preserve">).</w:t>
      </w:r>
    </w:p>
    <w:bookmarkEnd w:id="17"/>
    <w:bookmarkStart w:id="20" w:name="Xc84de9b524b3d0c19301279f6e45d48d43612e3"/>
    <w:p>
      <w:pPr>
        <w:pStyle w:val="Heading2"/>
      </w:pPr>
      <w:r>
        <w:t xml:space="preserve">§4. The Repo CRUD API</w:t>
      </w:r>
    </w:p>
    <w:p>
      <w:pPr>
        <w:pStyle w:val="FirstParagraph"/>
      </w:pPr>
      <w:r>
        <w:rPr>
          <w:rStyle w:val="VerbatimChar"/>
        </w:rPr>
        <w:t xml:space="preserve">Repo</w:t>
      </w:r>
      <w:r>
        <w:t xml:space="preserve"> </w:t>
      </w:r>
      <w:r>
        <w:t xml:space="preserve">(</w:t>
      </w:r>
      <w:r>
        <w:rPr>
          <w:rStyle w:val="VerbatimChar"/>
        </w:rPr>
        <w:t xml:space="preserve">crud.go</w:t>
      </w:r>
      <w:r>
        <w:t xml:space="preserve">) is a CRUD repository over the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 </w:t>
      </w:r>
      <w:r>
        <w:t xml:space="preserve">table. Construct it with</w:t>
      </w:r>
      <w:r>
        <w:t xml:space="preserve"> </w:t>
      </w:r>
      <w:r>
        <w:rPr>
          <w:rStyle w:val="VerbatimChar"/>
        </w:rPr>
        <w:t xml:space="preserve">NewRepo(s *Store) *Repo</w:t>
      </w:r>
      <w:r>
        <w:t xml:space="preserve">. All methods take a</w:t>
      </w:r>
      <w:r>
        <w:t xml:space="preserve"> </w:t>
      </w:r>
      <w:r>
        <w:rPr>
          <w:rStyle w:val="VerbatimChar"/>
        </w:rPr>
        <w:t xml:space="preserve">context.Context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Create(ctx, it Item) error</w:t>
            </w:r>
          </w:p>
        </w:tc>
        <w:tc>
          <w:tcPr/>
          <w:p>
            <w:pPr>
              <w:pStyle w:val="Compact"/>
            </w:pPr>
            <w:r>
              <w:t xml:space="preserve">Validates</w:t>
            </w:r>
            <w:r>
              <w:t xml:space="preserve"> </w:t>
            </w:r>
            <w:r>
              <w:rPr>
                <w:rStyle w:val="VerbatimChar"/>
              </w:rPr>
              <w:t xml:space="preserve">it.Status</w:t>
            </w:r>
            <w:r>
              <w:t xml:space="preserve"> </w:t>
            </w:r>
            <w:r>
              <w:t xml:space="preserve">against the closed set</w:t>
            </w:r>
            <w:r>
              <w:t xml:space="preserve"> </w:t>
            </w:r>
            <w:r>
              <w:rPr>
                <w:b/>
                <w:bCs/>
              </w:rPr>
              <w:t xml:space="preserve">first</w:t>
            </w:r>
            <w:r>
              <w:t xml:space="preserve"> </w:t>
            </w:r>
            <w:r>
              <w:t xml:space="preserve">(rejects unknown/empty loudly with</w:t>
            </w:r>
            <w:r>
              <w:t xml:space="preserve"> </w:t>
            </w:r>
            <w:r>
              <w:rPr>
                <w:rStyle w:val="VerbatimChar"/>
              </w:rPr>
              <w:t xml:space="preserve">invalid status …</w:t>
            </w:r>
            <w:r>
              <w:t xml:space="preserve">), then</w:t>
            </w:r>
            <w:r>
              <w:t xml:space="preserve"> </w:t>
            </w:r>
            <w:r>
              <w:rPr>
                <w:rStyle w:val="VerbatimChar"/>
              </w:rPr>
              <w:t xml:space="preserve">INSERT</w:t>
            </w:r>
            <w:r>
              <w:t xml:space="preserve">s all 13 columns.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GetByID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GetByID(ctx, atmID, location string) (*Item, error)</w:t>
            </w:r>
          </w:p>
        </w:tc>
        <w:tc>
          <w:tcPr/>
          <w:p>
            <w:pPr>
              <w:pStyle w:val="Compact"/>
            </w:pPr>
            <w:r>
              <w:t xml:space="preserve">Selects by the composite key. Returns</w:t>
            </w:r>
            <w:r>
              <w:t xml:space="preserve"> </w:t>
            </w:r>
            <w:r>
              <w:rPr>
                <w:rStyle w:val="VerbatimChar"/>
              </w:rPr>
              <w:t xml:space="preserve">(nil, nil)</w:t>
            </w:r>
            <w:r>
              <w:t xml:space="preserve"> </w:t>
            </w:r>
            <w:r>
              <w:t xml:space="preserve">when no such row exists (absence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an error here).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Update(ctx, it Item) error</w:t>
            </w:r>
          </w:p>
        </w:tc>
        <w:tc>
          <w:tcPr/>
          <w:p>
            <w:pPr>
              <w:pStyle w:val="Compact"/>
            </w:pPr>
            <w:r>
              <w:t xml:space="preserve">Validates status first, then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s all mutable columns (everything except the PK pair)</w:t>
            </w:r>
            <w:r>
              <w:t xml:space="preserve"> </w:t>
            </w:r>
            <w:r>
              <w:rPr>
                <w:rStyle w:val="VerbatimChar"/>
              </w:rPr>
              <w:t xml:space="preserve">WHERE atm_id=? AND current_location=?</w:t>
            </w:r>
            <w:r>
              <w:t xml:space="preserve">. A zero-rows update is reported as</w:t>
            </w:r>
            <w:r>
              <w:t xml:space="preserve"> </w:t>
            </w:r>
            <w:r>
              <w:rPr>
                <w:rStyle w:val="VerbatimChar"/>
              </w:rPr>
              <w:t xml:space="preserve">ErrNotFound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Delete(ctx, atmID, location string) error</w:t>
            </w:r>
          </w:p>
        </w:tc>
        <w:tc>
          <w:tcPr/>
          <w:p>
            <w:pPr>
              <w:pStyle w:val="Compact"/>
            </w:pPr>
            <w:r>
              <w:t xml:space="preserve">Deletes by composite key. A zero-rows delete is reported as</w:t>
            </w:r>
            <w:r>
              <w:t xml:space="preserve"> </w:t>
            </w:r>
            <w:r>
              <w:rPr>
                <w:rStyle w:val="VerbatimChar"/>
              </w:rPr>
              <w:t xml:space="preserve">ErrNotFound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List(ctx, location string) ([]Item, error)</w:t>
            </w:r>
          </w:p>
        </w:tc>
        <w:tc>
          <w:tcPr/>
          <w:p>
            <w:pPr>
              <w:pStyle w:val="Compact"/>
            </w:pPr>
            <w:r>
              <w:t xml:space="preserve">Returns every item at</w:t>
            </w:r>
            <w:r>
              <w:t xml:space="preserve"> </w:t>
            </w:r>
            <w:r>
              <w:rPr>
                <w:rStyle w:val="VerbatimChar"/>
              </w:rPr>
              <w:t xml:space="preserve">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 BY atm_id</w:t>
            </w:r>
            <w:r>
              <w:t xml:space="preserve"> </w:t>
            </w:r>
            <w:r>
              <w:t xml:space="preserve">for deterministic output.</w:t>
            </w:r>
          </w:p>
        </w:tc>
      </w:tr>
    </w:tbl>
    <w:bookmarkStart w:id="18" w:name="X4f425f9d4102dca3ce9206743ad8b180f88e030"/>
    <w:p>
      <w:pPr>
        <w:pStyle w:val="Heading3"/>
      </w:pPr>
      <w:r>
        <w:t xml:space="preserve">§4.1</w:t>
      </w:r>
      <w:r>
        <w:t xml:space="preserve"> </w:t>
      </w:r>
      <w:r>
        <w:rPr>
          <w:rStyle w:val="VerbatimChar"/>
        </w:rPr>
        <w:t xml:space="preserve">ErrNotFound</w:t>
      </w:r>
      <w:r>
        <w:t xml:space="preserve"> </w:t>
      </w:r>
      <w:r>
        <w:t xml:space="preserve">and "loud on missing"</w:t>
      </w:r>
    </w:p>
    <w:p>
      <w:pPr>
        <w:pStyle w:val="FirstParagraph"/>
      </w:pPr>
      <w:r>
        <w:rPr>
          <w:rStyle w:val="VerbatimChar"/>
        </w:rPr>
        <w:t xml:space="preserve">ErrNotFound = errors.New("workable: item not found")</w:t>
      </w:r>
      <w:r>
        <w:t xml:space="preserve">.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both route through the internal</w:t>
      </w:r>
      <w:r>
        <w:t xml:space="preserve"> </w:t>
      </w:r>
      <w:r>
        <w:rPr>
          <w:rStyle w:val="VerbatimChar"/>
        </w:rPr>
        <w:t xml:space="preserve">requireOneRow</w:t>
      </w:r>
      <w:r>
        <w:t xml:space="preserve"> </w:t>
      </w:r>
      <w:r>
        <w:t xml:space="preserve">helper, which inspects</w:t>
      </w:r>
      <w:r>
        <w:t xml:space="preserve"> </w:t>
      </w:r>
      <w:r>
        <w:rPr>
          <w:rStyle w:val="VerbatimChar"/>
        </w:rPr>
        <w:t xml:space="preserve">RowsAffected()</w:t>
      </w:r>
      <w:r>
        <w:t xml:space="preserve"> </w:t>
      </w:r>
      <w:r>
        <w:t xml:space="preserve">and returns a wrapped</w:t>
      </w:r>
      <w:r>
        <w:t xml:space="preserve"> </w:t>
      </w:r>
      <w:r>
        <w:rPr>
          <w:rStyle w:val="VerbatimChar"/>
        </w:rPr>
        <w:t xml:space="preserve">ErrNotFound</w:t>
      </w:r>
      <w:r>
        <w:t xml:space="preserve"> </w:t>
      </w:r>
      <w:r>
        <w:t xml:space="preserve">(</w:t>
      </w:r>
      <w:r>
        <w:rPr>
          <w:rStyle w:val="VerbatimChar"/>
        </w:rPr>
        <w:t xml:space="preserve">%w</w:t>
      </w:r>
      <w:r>
        <w:t xml:space="preserve">, so</w:t>
      </w:r>
      <w:r>
        <w:t xml:space="preserve"> </w:t>
      </w:r>
      <w:r>
        <w:rPr>
          <w:rStyle w:val="VerbatimChar"/>
        </w:rPr>
        <w:t xml:space="preserve">errors.Is(err, ErrNotFound)</w:t>
      </w:r>
      <w:r>
        <w:t xml:space="preserve"> </w:t>
      </w:r>
      <w:r>
        <w:t xml:space="preserve">works) when zero rows matched. This is the deliberate "loud on missing" contract — a no-op update/delete is treated as a caller error, not silently swallowed.</w:t>
      </w:r>
    </w:p>
    <w:p>
      <w:pPr>
        <w:pStyle w:val="BodyText"/>
      </w:pPr>
      <w:r>
        <w:rPr>
          <w:rStyle w:val="VerbatimChar"/>
        </w:rPr>
        <w:t xml:space="preserve">GetByID</w:t>
      </w:r>
      <w:r>
        <w:t xml:space="preserve"> </w:t>
      </w:r>
      <w:r>
        <w:t xml:space="preserve">is the deliberate exception: a missing row there is the normal "not present yet" signal and returns</w:t>
      </w:r>
      <w:r>
        <w:t xml:space="preserve"> </w:t>
      </w:r>
      <w:r>
        <w:rPr>
          <w:rStyle w:val="VerbatimChar"/>
        </w:rPr>
        <w:t xml:space="preserve">(nil, nil)</w:t>
      </w:r>
      <w:r>
        <w:t xml:space="preserve">.</w:t>
      </w:r>
    </w:p>
    <w:bookmarkEnd w:id="18"/>
    <w:bookmarkStart w:id="19" w:name="Xacffb4c4cdf9067012b6ae0599b130e09be991d"/>
    <w:p>
      <w:pPr>
        <w:pStyle w:val="Heading3"/>
      </w:pPr>
      <w:r>
        <w:t xml:space="preserve">§4.2 Status validation boundary</w:t>
      </w:r>
    </w:p>
    <w:p>
      <w:pPr>
        <w:pStyle w:val="FirstParagraph"/>
      </w:pPr>
      <w:r>
        <w:t xml:space="preserve">Status validation happens in Go (</w:t>
      </w:r>
      <w:r>
        <w:rPr>
          <w:rStyle w:val="VerbatimChar"/>
        </w:rPr>
        <w:t xml:space="preserve">ValidStatus</w:t>
      </w:r>
      <w:r>
        <w:t xml:space="preserve">)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any DB access, on both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items.status</w:t>
      </w:r>
      <w:r>
        <w:t xml:space="preserve"> </w:t>
      </w:r>
      <w:r>
        <w:t xml:space="preserve">column itself has no SQL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, so the Go layer is the sole enforcement point for the 10-value closed set — keep all writes flowing through</w:t>
      </w:r>
      <w:r>
        <w:t xml:space="preserve"> </w:t>
      </w:r>
      <w:r>
        <w:rPr>
          <w:rStyle w:val="VerbatimChar"/>
        </w:rPr>
        <w:t xml:space="preserve">Repo</w:t>
      </w:r>
      <w:r>
        <w:t xml:space="preserve"> </w:t>
      </w:r>
      <w:r>
        <w:t xml:space="preserve">rather than raw</w:t>
      </w:r>
      <w:r>
        <w:t xml:space="preserve"> </w:t>
      </w:r>
      <w:r>
        <w:rPr>
          <w:rStyle w:val="VerbatimChar"/>
        </w:rPr>
        <w:t xml:space="preserve">Store.DB()</w:t>
      </w:r>
      <w:r>
        <w:t xml:space="preserve"> </w:t>
      </w:r>
      <w:r>
        <w:t xml:space="preserve">to preserve that guarantee.</w:t>
      </w:r>
    </w:p>
    <w:bookmarkEnd w:id="19"/>
    <w:bookmarkEnd w:id="20"/>
    <w:bookmarkStart w:id="24" w:name="X12102f210cd8e45d801596750691487318be0aa"/>
    <w:p>
      <w:pPr>
        <w:pStyle w:val="Heading2"/>
      </w:pPr>
      <w:r>
        <w:t xml:space="preserve">§5. The Diff change-feed</w:t>
      </w:r>
    </w:p>
    <w:p>
      <w:pPr>
        <w:pStyle w:val="FirstParagraph"/>
      </w:pPr>
      <w:r>
        <w:rPr>
          <w:rStyle w:val="VerbatimChar"/>
        </w:rPr>
        <w:t xml:space="preserve">Diff(prev, curr []Item) []Change</w:t>
      </w:r>
      <w:r>
        <w:t xml:space="preserve"> </w:t>
      </w:r>
      <w:r>
        <w:t xml:space="preserve">(</w:t>
      </w:r>
      <w:r>
        <w:rPr>
          <w:rStyle w:val="VerbatimChar"/>
        </w:rPr>
        <w:t xml:space="preserve">changefeed.go</w:t>
      </w:r>
      <w:r>
        <w:t xml:space="preserve">) computes the deterministic per-property delta transforming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curr</w:t>
      </w:r>
      <w:r>
        <w:t xml:space="preserve">. Items are keyed on their composite</w:t>
      </w:r>
      <w:r>
        <w:t xml:space="preserve"> </w:t>
      </w:r>
      <w:r>
        <w:rPr>
          <w:rStyle w:val="VerbatimChar"/>
        </w:rPr>
        <w:t xml:space="preserve">(atm_id, current_location)</w:t>
      </w:r>
      <w:r>
        <w:t xml:space="preserve">.</w:t>
      </w:r>
    </w:p>
    <w:bookmarkStart w:id="21" w:name="X46a975d5427e89db800bc84cbd1c92999a6b118"/>
    <w:p>
      <w:pPr>
        <w:pStyle w:val="Heading3"/>
      </w:pPr>
      <w:r>
        <w:t xml:space="preserve">§5.1 The 5 Change Kinds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Kind constant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Emitted when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Old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KindCreated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item.created</w:t>
            </w:r>
          </w:p>
        </w:tc>
        <w:tc>
          <w:tcPr/>
          <w:p>
            <w:pPr>
              <w:pStyle w:val="Compact"/>
            </w:pPr>
            <w:r>
              <w:t xml:space="preserve">key present in</w:t>
            </w:r>
            <w:r>
              <w:t xml:space="preserve"> </w:t>
            </w:r>
            <w:r>
              <w:rPr>
                <w:rStyle w:val="VerbatimChar"/>
              </w:rPr>
              <w:t xml:space="preserve">curr</w:t>
            </w:r>
            <w:r>
              <w:t xml:space="preserve">, absent in</w:t>
            </w:r>
            <w:r>
              <w:t xml:space="preserve"> </w:t>
            </w:r>
            <w:r>
              <w:rPr>
                <w:rStyle w:val="VerbatimChar"/>
              </w:rPr>
              <w:t xml:space="preserve">prev</w:t>
            </w:r>
          </w:p>
        </w:tc>
        <w:tc>
          <w:tcPr/>
          <w:p>
            <w:pPr>
              <w:pStyle w:val="Compact"/>
            </w:pPr>
            <w:r>
              <w:t xml:space="preserve">empty (lifecycle)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KindDeleted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item.deleted</w:t>
            </w:r>
          </w:p>
        </w:tc>
        <w:tc>
          <w:tcPr/>
          <w:p>
            <w:pPr>
              <w:pStyle w:val="Compact"/>
            </w:pPr>
            <w:r>
              <w:t xml:space="preserve">key present in</w:t>
            </w:r>
            <w:r>
              <w:t xml:space="preserve"> </w:t>
            </w:r>
            <w:r>
              <w:rPr>
                <w:rStyle w:val="VerbatimChar"/>
              </w:rPr>
              <w:t xml:space="preserve">prev</w:t>
            </w:r>
            <w:r>
              <w:t xml:space="preserve">, absent in</w:t>
            </w:r>
            <w:r>
              <w:t xml:space="preserve"> </w:t>
            </w:r>
            <w:r>
              <w:rPr>
                <w:rStyle w:val="VerbatimChar"/>
              </w:rPr>
              <w:t xml:space="preserve">curr</w:t>
            </w:r>
          </w:p>
        </w:tc>
        <w:tc>
          <w:tcPr/>
          <w:p>
            <w:pPr>
              <w:pStyle w:val="Compact"/>
            </w:pPr>
            <w:r>
              <w:t xml:space="preserve">empty (lifecycle)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KindStatusChanged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item.status.changed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differs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Field="status"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Old</w:t>
            </w:r>
            <w:r>
              <w:t xml:space="preserve">→</w:t>
            </w:r>
            <w:r>
              <w:rPr>
                <w:rStyle w:val="VerbatimChar"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KindFieldChanged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item.field.changed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severity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t xml:space="preserve">differs</w:t>
            </w:r>
          </w:p>
        </w:tc>
        <w:tc>
          <w:tcPr/>
          <w:p>
            <w:pPr>
              <w:pStyle w:val="Compact"/>
            </w:pPr>
            <w:r>
              <w:t xml:space="preserve">one Change each,</w:t>
            </w:r>
            <w:r>
              <w:t xml:space="preserve"> </w:t>
            </w:r>
            <w:r>
              <w:rPr>
                <w:rStyle w:val="VerbatimChar"/>
              </w:rPr>
              <w:t xml:space="preserve">Field</w:t>
            </w:r>
            <w:r>
              <w:t xml:space="preserve"> </w:t>
            </w:r>
            <w:r>
              <w:t xml:space="preserve">named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KindContentUpdated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item.content.updated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body_md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 </w:t>
            </w:r>
            <w:r>
              <w:t xml:space="preserve">differs</w:t>
            </w:r>
          </w:p>
        </w:tc>
        <w:tc>
          <w:tcPr/>
          <w:p>
            <w:pPr>
              <w:pStyle w:val="Compact"/>
            </w:pPr>
            <w:r>
              <w:t xml:space="preserve">one Change each,</w:t>
            </w:r>
            <w:r>
              <w:t xml:space="preserve"> </w:t>
            </w:r>
            <w:r>
              <w:rPr>
                <w:rStyle w:val="VerbatimChar"/>
              </w:rPr>
              <w:t xml:space="preserve">Field</w:t>
            </w:r>
            <w:r>
              <w:t xml:space="preserve"> </w:t>
            </w:r>
            <w:r>
              <w:t xml:space="preserve">named</w:t>
            </w:r>
          </w:p>
        </w:tc>
      </w:tr>
    </w:tbl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Change</w:t>
      </w:r>
      <w:r>
        <w:t xml:space="preserve"> </w:t>
      </w:r>
      <w:r>
        <w:t xml:space="preserve">carries</w:t>
      </w:r>
      <w:r>
        <w:t xml:space="preserve"> </w:t>
      </w:r>
      <w:r>
        <w:rPr>
          <w:rStyle w:val="VerbatimChar"/>
        </w:rPr>
        <w:t xml:space="preserve">AtmID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</w:t>
      </w:r>
      <w:r>
        <w:t xml:space="preserve">,</w:t>
      </w:r>
      <w:r>
        <w:t xml:space="preserve"> </w:t>
      </w:r>
      <w:r>
        <w:rPr>
          <w:rStyle w:val="VerbatimChar"/>
        </w:rPr>
        <w:t xml:space="preserve">Old</w:t>
      </w:r>
      <w:r>
        <w:t xml:space="preserve">,</w:t>
      </w:r>
      <w:r>
        <w:t xml:space="preserve"> </w:t>
      </w:r>
      <w:r>
        <w:rPr>
          <w:rStyle w:val="VerbatimChar"/>
        </w:rPr>
        <w:t xml:space="preserve">New</w:t>
      </w:r>
      <w:r>
        <w:t xml:space="preserve">. For the two lifecycle Kinds,</w:t>
      </w:r>
      <w:r>
        <w:t xml:space="preserve"> </w:t>
      </w:r>
      <w:r>
        <w:rPr>
          <w:rStyle w:val="VerbatimChar"/>
        </w:rPr>
        <w:t xml:space="preserve">Field</w:t>
      </w:r>
      <w:r>
        <w:t xml:space="preserve">/</w:t>
      </w:r>
      <w:r>
        <w:rPr>
          <w:rStyle w:val="VerbatimChar"/>
        </w:rPr>
        <w:t xml:space="preserve">Old</w:t>
      </w:r>
      <w:r>
        <w:t xml:space="preserve">/</w:t>
      </w:r>
      <w:r>
        <w:rPr>
          <w:rStyle w:val="VerbatimChar"/>
        </w:rPr>
        <w:t xml:space="preserve">New</w:t>
      </w:r>
      <w:r>
        <w:t xml:space="preserve"> </w:t>
      </w:r>
      <w:r>
        <w:t xml:space="preserve">are empty.</w:t>
      </w:r>
    </w:p>
    <w:bookmarkEnd w:id="21"/>
    <w:bookmarkStart w:id="22" w:name="X3e28ff79196f8461636327c92db1c34afebddaa"/>
    <w:p>
      <w:pPr>
        <w:pStyle w:val="Heading3"/>
      </w:pPr>
      <w:r>
        <w:t xml:space="preserve">§5.2 Worked examples</w:t>
      </w:r>
    </w:p>
    <w:p>
      <w:pPr>
        <w:pStyle w:val="SourceCode"/>
      </w:pPr>
      <w:r>
        <w:rPr>
          <w:rStyle w:val="VerbatimChar"/>
        </w:rPr>
        <w:t xml:space="preserve">prev: ATM-1 {status:"Queued"}                     curr: (absent)</w:t>
      </w:r>
      <w:r>
        <w:br/>
      </w:r>
      <w:r>
        <w:rPr>
          <w:rStyle w:val="VerbatimChar"/>
        </w:rPr>
        <w:t xml:space="preserve">  -&gt; Change{AtmID:"ATM-1", Location:"Issues", Kind:"item.deleted"}</w:t>
      </w:r>
      <w:r>
        <w:br/>
      </w:r>
      <w:r>
        <w:br/>
      </w:r>
      <w:r>
        <w:rPr>
          <w:rStyle w:val="VerbatimChar"/>
        </w:rPr>
        <w:t xml:space="preserve">prev: (absent)                                     curr: ATM-1 {status:"Queued"}</w:t>
      </w:r>
      <w:r>
        <w:br/>
      </w:r>
      <w:r>
        <w:rPr>
          <w:rStyle w:val="VerbatimChar"/>
        </w:rPr>
        <w:t xml:space="preserve">  -&gt; Change{AtmID:"ATM-1", Location:"Issues", Kind:"item.created"}</w:t>
      </w:r>
      <w:r>
        <w:br/>
      </w:r>
      <w:r>
        <w:br/>
      </w:r>
      <w:r>
        <w:rPr>
          <w:rStyle w:val="VerbatimChar"/>
        </w:rPr>
        <w:t xml:space="preserve">prev: ATM-1 {status:"Queued"}                      curr: ATM-1 {status:"In progress"}</w:t>
      </w:r>
      <w:r>
        <w:br/>
      </w:r>
      <w:r>
        <w:rPr>
          <w:rStyle w:val="VerbatimChar"/>
        </w:rPr>
        <w:t xml:space="preserve">  -&gt; Change{Kind:"item.status.changed", Field:"status", Old:"Queued", New:"In progress"}</w:t>
      </w:r>
      <w:r>
        <w:br/>
      </w:r>
      <w:r>
        <w:br/>
      </w:r>
      <w:r>
        <w:rPr>
          <w:rStyle w:val="VerbatimChar"/>
        </w:rPr>
        <w:t xml:space="preserve">prev: ATM-1 {severity:"Low", title:"old", type:"Bug"}</w:t>
      </w:r>
      <w:r>
        <w:br/>
      </w:r>
      <w:r>
        <w:rPr>
          <w:rStyle w:val="VerbatimChar"/>
        </w:rPr>
        <w:t xml:space="preserve">curr: ATM-1 {severity:"High", title:"new", type:"Feature"}</w:t>
      </w:r>
      <w:r>
        <w:br/>
      </w:r>
      <w:r>
        <w:rPr>
          <w:rStyle w:val="VerbatimChar"/>
        </w:rPr>
        <w:t xml:space="preserve">  -&gt; item.field.changed Field:"severity" Old:"Low"  New:"High"</w:t>
      </w:r>
      <w:r>
        <w:br/>
      </w:r>
      <w:r>
        <w:rPr>
          <w:rStyle w:val="VerbatimChar"/>
        </w:rPr>
        <w:t xml:space="preserve">  -&gt; item.field.changed Field:"title"    Old:"old"  New:"new"</w:t>
      </w:r>
      <w:r>
        <w:br/>
      </w:r>
      <w:r>
        <w:rPr>
          <w:rStyle w:val="VerbatimChar"/>
        </w:rPr>
        <w:t xml:space="preserve">  -&gt; item.field.changed Field:"type"     Old:"Bug"  New:"Feature"</w:t>
      </w:r>
      <w:r>
        <w:br/>
      </w:r>
      <w:r>
        <w:br/>
      </w:r>
      <w:r>
        <w:rPr>
          <w:rStyle w:val="VerbatimChar"/>
        </w:rPr>
        <w:t xml:space="preserve">prev: ATM-1 {body_md:"old-body", description:"old-desc"}</w:t>
      </w:r>
      <w:r>
        <w:br/>
      </w:r>
      <w:r>
        <w:rPr>
          <w:rStyle w:val="VerbatimChar"/>
        </w:rPr>
        <w:t xml:space="preserve">curr: ATM-1 {body_md:"new-body", description:"new-desc"}</w:t>
      </w:r>
      <w:r>
        <w:br/>
      </w:r>
      <w:r>
        <w:rPr>
          <w:rStyle w:val="VerbatimChar"/>
        </w:rPr>
        <w:t xml:space="preserve">  -&gt; item.content.updated Field:"body_md"     Old:"old-body" New:"new-body"</w:t>
      </w:r>
      <w:r>
        <w:br/>
      </w:r>
      <w:r>
        <w:rPr>
          <w:rStyle w:val="VerbatimChar"/>
        </w:rPr>
        <w:t xml:space="preserve">  -&gt; item.content.updated Field:"description" Old:"old-desc" New:"new-desc"</w:t>
      </w:r>
    </w:p>
    <w:bookmarkEnd w:id="22"/>
    <w:bookmarkStart w:id="23" w:name="Xa3136fc27be5123516f7b90c65614dcda0cc62d"/>
    <w:p>
      <w:pPr>
        <w:pStyle w:val="Heading3"/>
      </w:pPr>
      <w:r>
        <w:t xml:space="preserve">§5.3 Deterministic ordering</w:t>
      </w:r>
    </w:p>
    <w:p>
      <w:pPr>
        <w:pStyle w:val="FirstParagraph"/>
      </w:pPr>
      <w:r>
        <w:t xml:space="preserve">The output slice is sorted (stable) by: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AtmID</w:t>
      </w:r>
      <w:r>
        <w:t xml:space="preserve"> </w:t>
      </w:r>
      <w:r>
        <w:t xml:space="preserve">ascending, then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Location</w:t>
      </w:r>
      <w:r>
        <w:t xml:space="preserve"> </w:t>
      </w:r>
      <w:r>
        <w:t xml:space="preserve">ascending, then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Kind-group rank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created</w:t>
      </w:r>
      <w:r>
        <w:t xml:space="preserve">(0) →</w:t>
      </w:r>
      <w:r>
        <w:t xml:space="preserve"> </w:t>
      </w:r>
      <w:r>
        <w:rPr>
          <w:rStyle w:val="VerbatimChar"/>
        </w:rPr>
        <w:t xml:space="preserve">deleted</w:t>
      </w:r>
      <w:r>
        <w:t xml:space="preserve">(1) →</w:t>
      </w:r>
      <w:r>
        <w:t xml:space="preserve"> </w:t>
      </w:r>
      <w:r>
        <w:rPr>
          <w:rStyle w:val="VerbatimChar"/>
        </w:rPr>
        <w:t xml:space="preserve">status.changed</w:t>
      </w:r>
      <w:r>
        <w:t xml:space="preserve">(2) →</w:t>
      </w:r>
      <w:r>
        <w:t xml:space="preserve"> </w:t>
      </w:r>
      <w:r>
        <w:rPr>
          <w:rStyle w:val="VerbatimChar"/>
        </w:rPr>
        <w:t xml:space="preserve">field.changed</w:t>
      </w:r>
      <w:r>
        <w:t xml:space="preserve">(3) →</w:t>
      </w:r>
      <w:r>
        <w:t xml:space="preserve"> </w:t>
      </w:r>
      <w:r>
        <w:rPr>
          <w:rStyle w:val="VerbatimChar"/>
        </w:rPr>
        <w:t xml:space="preserve">content.updated</w:t>
      </w:r>
      <w:r>
        <w:t xml:space="preserve">(4), then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Field</w:t>
      </w:r>
      <w:r>
        <w:t xml:space="preserve"> </w:t>
      </w:r>
      <w:r>
        <w:t xml:space="preserve">name ascending.</w:t>
      </w:r>
    </w:p>
    <w:p>
      <w:pPr>
        <w:pStyle w:val="FirstParagraph"/>
      </w:pPr>
      <w:r>
        <w:t xml:space="preserve">Within one item this means a</w:t>
      </w:r>
      <w:r>
        <w:t xml:space="preserve"> </w:t>
      </w:r>
      <w:r>
        <w:rPr>
          <w:rStyle w:val="VerbatimChar"/>
        </w:rPr>
        <w:t xml:space="preserve">field.changed</w:t>
      </w:r>
      <w:r>
        <w:t xml:space="preserve"> </w:t>
      </w:r>
      <w:r>
        <w:t xml:space="preserve">burst always emits in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order (alphabetical by field), and a</w:t>
      </w:r>
      <w:r>
        <w:t xml:space="preserve"> </w:t>
      </w:r>
      <w:r>
        <w:rPr>
          <w:rStyle w:val="VerbatimChar"/>
        </w:rPr>
        <w:t xml:space="preserve">content.updated</w:t>
      </w:r>
      <w:r>
        <w:t xml:space="preserve"> </w:t>
      </w:r>
      <w:r>
        <w:t xml:space="preserve">burst in</w:t>
      </w:r>
      <w:r>
        <w:t xml:space="preserve"> </w:t>
      </w:r>
      <w:r>
        <w:rPr>
          <w:rStyle w:val="VerbatimChar"/>
        </w:rPr>
        <w:t xml:space="preserve">body_md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order — confirmed by</w:t>
      </w:r>
      <w:r>
        <w:t xml:space="preserve"> </w:t>
      </w:r>
      <w:r>
        <w:rPr>
          <w:rStyle w:val="VerbatimChar"/>
        </w:rPr>
        <w:t xml:space="preserve">TestDiff_FieldChanged_TitleSeverityType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TestDiff_ContentUpdated</w:t>
      </w:r>
      <w:r>
        <w:t xml:space="preserve">. The full ordering is fully deterministic regardless of map iteration order, which is what lets downstream notification formatting be reproducible.</w:t>
      </w:r>
    </w:p>
    <w:p>
      <w:pPr>
        <w:pStyle w:val="BlockText"/>
      </w:pPr>
      <w:r>
        <w:rPr>
          <w:b/>
          <w:bCs/>
        </w:rPr>
        <w:t xml:space="preserve">Scope note.</w:t>
      </w:r>
      <w:r>
        <w:t xml:space="preserve"> </w:t>
      </w:r>
      <w:r>
        <w:rPr>
          <w:rStyle w:val="VerbatimChar"/>
        </w:rPr>
        <w:t xml:space="preserve">Diff</w:t>
      </w:r>
      <w:r>
        <w:t xml:space="preserve"> </w:t>
      </w:r>
      <w:r>
        <w:t xml:space="preserve">only inspects the tracked properties listed above (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body_md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). Changes to other</w:t>
      </w:r>
      <w:r>
        <w:t xml:space="preserve"> </w:t>
      </w:r>
      <w:r>
        <w:rPr>
          <w:rStyle w:val="VerbatimChar"/>
        </w:rPr>
        <w:t xml:space="preserve">Item</w:t>
      </w:r>
      <w:r>
        <w:t xml:space="preserve"> </w:t>
      </w:r>
      <w:r>
        <w:t xml:space="preserve">fields (</w:t>
      </w:r>
      <w:r>
        <w:rPr>
          <w:rStyle w:val="VerbatimChar"/>
        </w:rPr>
        <w:t xml:space="preserve">forensic_anchor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closure_criteria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composes_with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last_modified</w:t>
      </w:r>
      <w:r>
        <w:t xml:space="preserve">)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currently produce a</w:t>
      </w:r>
      <w:r>
        <w:t xml:space="preserve"> </w:t>
      </w:r>
      <w:r>
        <w:rPr>
          <w:rStyle w:val="VerbatimChar"/>
        </w:rPr>
        <w:t xml:space="preserve">Change</w:t>
      </w:r>
      <w:r>
        <w:t xml:space="preserve">. Treat that as the documented current behaviour, not an oversight to assume around.</w:t>
      </w:r>
    </w:p>
    <w:bookmarkEnd w:id="23"/>
    <w:bookmarkEnd w:id="24"/>
    <w:bookmarkStart w:id="29" w:name="Xd83b0431a5d9ff291a3514d93c505fdba99c349"/>
    <w:p>
      <w:pPr>
        <w:pStyle w:val="Heading2"/>
      </w:pPr>
      <w:r>
        <w:t xml:space="preserve">§6. ParseTracker — the Markdown reader</w:t>
      </w:r>
    </w:p>
    <w:p>
      <w:pPr>
        <w:pStyle w:val="FirstParagraph"/>
      </w:pPr>
      <w:r>
        <w:rPr>
          <w:rStyle w:val="VerbatimChar"/>
        </w:rPr>
        <w:t xml:space="preserve">ParseTracker(markdown, location string) ([]Item, error)</w:t>
      </w:r>
      <w:r>
        <w:t xml:space="preserve"> </w:t>
      </w:r>
      <w:r>
        <w:t xml:space="preserve">(</w:t>
      </w:r>
      <w:r>
        <w:rPr>
          <w:rStyle w:val="VerbatimChar"/>
        </w:rPr>
        <w:t xml:space="preserve">parser.go</w:t>
      </w:r>
      <w:r>
        <w:t xml:space="preserve">) parses ATMOSphere's real Markdown tracker format and returns the workable items it finds, each tagged with the supplied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"Issues"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"Fixed"</w:t>
      </w:r>
      <w:r>
        <w:t xml:space="preserve">).</w:t>
      </w:r>
    </w:p>
    <w:bookmarkStart w:id="25" w:name="X6f6d9e89b0a6c01b27f0b7d693eb511fb0f9020"/>
    <w:p>
      <w:pPr>
        <w:pStyle w:val="Heading3"/>
      </w:pPr>
      <w:r>
        <w:t xml:space="preserve">§6.1 Heading shapes recognised</w:t>
      </w:r>
    </w:p>
    <w:p>
      <w:pPr>
        <w:pStyle w:val="FirstParagraph"/>
      </w:pPr>
      <w:r>
        <w:t xml:space="preserve">Items are H2 headings (</w:t>
      </w:r>
      <w:r>
        <w:rPr>
          <w:rStyle w:val="VerbatimChar"/>
        </w:rPr>
        <w:t xml:space="preserve">## …</w:t>
      </w:r>
      <w:r>
        <w:t xml:space="preserve">). The parser handles these shapes: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Heading shape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 §GL CRITICAL — [ATM-238] Netflix login failure on D3</w:t>
            </w:r>
          </w:p>
        </w:tc>
        <w:tc>
          <w:tcPr/>
          <w:p>
            <w:pPr>
              <w:pStyle w:val="Compact"/>
            </w:pPr>
            <w:r>
              <w:t xml:space="preserve">item; id</w:t>
            </w:r>
            <w:r>
              <w:t xml:space="preserve"> </w:t>
            </w:r>
            <w:r>
              <w:rPr>
                <w:rStyle w:val="VerbatimChar"/>
              </w:rPr>
              <w:t xml:space="preserve">ATM-238</w:t>
            </w:r>
            <w:r>
              <w:t xml:space="preserve">, title</w:t>
            </w:r>
            <w:r>
              <w:t xml:space="preserve"> </w:t>
            </w:r>
            <w:r>
              <w:rPr>
                <w:rStyle w:val="VerbatimChar"/>
              </w:rPr>
              <w:t xml:space="preserve">Netflix login failure on D3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 SYS — [ATM-101] Disk pressure alerting</w:t>
            </w:r>
          </w:p>
        </w:tc>
        <w:tc>
          <w:tcPr/>
          <w:p>
            <w:pPr>
              <w:pStyle w:val="Compact"/>
            </w:pPr>
            <w:r>
              <w:t xml:space="preserve">item; id</w:t>
            </w:r>
            <w:r>
              <w:t xml:space="preserve"> </w:t>
            </w:r>
            <w:r>
              <w:rPr>
                <w:rStyle w:val="VerbatimChar"/>
              </w:rPr>
              <w:t xml:space="preserve">ATM-101</w:t>
            </w:r>
            <w:r>
              <w:t xml:space="preserve">, title</w:t>
            </w:r>
            <w:r>
              <w:t xml:space="preserve"> </w:t>
            </w:r>
            <w:r>
              <w:rPr>
                <w:rStyle w:val="VerbatimChar"/>
              </w:rPr>
              <w:t xml:space="preserve">Disk pressure alerting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 §UX — Tidy the onboarding copy</w:t>
            </w:r>
          </w:p>
        </w:tc>
        <w:tc>
          <w:tcPr/>
          <w:p>
            <w:pPr>
              <w:pStyle w:val="Compact"/>
            </w:pPr>
            <w:r>
              <w:t xml:space="preserve">item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bracket id → id is</w:t>
            </w:r>
            <w:r>
              <w:t xml:space="preserve"> </w:t>
            </w:r>
            <w:r>
              <w:rPr>
                <w:b/>
                <w:bCs/>
              </w:rPr>
              <w:t xml:space="preserve">derived</w:t>
            </w:r>
            <w:r>
              <w:t xml:space="preserve"> </w:t>
            </w:r>
            <w:r>
              <w:t xml:space="preserve">(see §6.3)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 A. Global blockers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 header — skipped</w:t>
            </w:r>
            <w:r>
              <w:t xml:space="preserve"> </w:t>
            </w:r>
            <w:r>
              <w:t xml:space="preserve">(see §6.2)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atmIDRe</w:t>
      </w:r>
      <w:r>
        <w:t xml:space="preserve"> </w:t>
      </w:r>
      <w:r>
        <w:t xml:space="preserve">(</w:t>
      </w:r>
      <w:r>
        <w:rPr>
          <w:rStyle w:val="VerbatimChar"/>
        </w:rPr>
        <w:t xml:space="preserve">\[(ATM-\d+)\]</w:t>
      </w:r>
      <w:r>
        <w:t xml:space="preserve">) extracts the bracket id.</w:t>
      </w:r>
      <w:r>
        <w:t xml:space="preserve"> </w:t>
      </w:r>
      <w:r>
        <w:rPr>
          <w:rStyle w:val="VerbatimChar"/>
        </w:rPr>
        <w:t xml:space="preserve">headingTitle</w:t>
      </w:r>
      <w:r>
        <w:t xml:space="preserve"> </w:t>
      </w:r>
      <w:r>
        <w:t xml:space="preserve">strips the prefix segment by splitting on the em-dash separator</w:t>
      </w:r>
      <w:r>
        <w:t xml:space="preserve"> </w:t>
      </w:r>
      <w:r>
        <w:rPr>
          <w:rStyle w:val="VerbatimChar"/>
        </w:rPr>
        <w:t xml:space="preserve">—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-</w:t>
      </w:r>
      <w:r>
        <w:t xml:space="preserve">, or a leading</w:t>
      </w:r>
      <w:r>
        <w:t xml:space="preserve"> </w:t>
      </w:r>
      <w:r>
        <w:rPr>
          <w:rStyle w:val="VerbatimChar"/>
        </w:rPr>
        <w:t xml:space="preserve">A. </w:t>
      </w:r>
      <w:r>
        <w:t xml:space="preserve"> </w:t>
      </w:r>
      <w:r>
        <w:t xml:space="preserve">section-style dot within the first 3 chars), then removes any surviving</w:t>
      </w:r>
      <w:r>
        <w:t xml:space="preserve"> </w:t>
      </w:r>
      <w:r>
        <w:rPr>
          <w:rStyle w:val="VerbatimChar"/>
        </w:rPr>
        <w:t xml:space="preserve">[ATM-NNN]</w:t>
      </w:r>
      <w:r>
        <w:t xml:space="preserve"> </w:t>
      </w:r>
      <w:r>
        <w:t xml:space="preserve">bracket and trims.</w:t>
      </w:r>
    </w:p>
    <w:bookmarkEnd w:id="25"/>
    <w:bookmarkStart w:id="26" w:name="X7b6fdb81630ab720ec23c7e84fdc0e8f609ba53"/>
    <w:p>
      <w:pPr>
        <w:pStyle w:val="Heading3"/>
      </w:pPr>
      <w:r>
        <w:t xml:space="preserve">§6.2 Section-header skipping</w:t>
      </w:r>
    </w:p>
    <w:p>
      <w:pPr>
        <w:pStyle w:val="FirstParagraph"/>
      </w:pPr>
      <w:r>
        <w:t xml:space="preserve">The decisive test is the metadata block, not the heading text. For each H2 block the parser captures the body lines up to (but excluding) the next H2 and runs</w:t>
      </w:r>
      <w:r>
        <w:t xml:space="preserve"> </w:t>
      </w:r>
      <w:r>
        <w:rPr>
          <w:rStyle w:val="VerbatimChar"/>
        </w:rPr>
        <w:t xml:space="preserve">scanMeta</w:t>
      </w:r>
      <w:r>
        <w:t xml:space="preserve"> </w:t>
      </w:r>
      <w:r>
        <w:t xml:space="preserve">over them.</w:t>
      </w:r>
      <w:r>
        <w:t xml:space="preserve"> </w:t>
      </w:r>
      <w:r>
        <w:rPr>
          <w:rStyle w:val="VerbatimChar"/>
        </w:rPr>
        <w:t xml:space="preserve">scanMeta</w:t>
      </w:r>
      <w:r>
        <w:t xml:space="preserve"> </w:t>
      </w:r>
      <w:r>
        <w:t xml:space="preserve">matches lines of the form</w:t>
      </w:r>
      <w:r>
        <w:t xml:space="preserve"> </w:t>
      </w:r>
      <w:r>
        <w:rPr>
          <w:rStyle w:val="VerbatimChar"/>
        </w:rPr>
        <w:t xml:space="preserve">**Status:** 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**Type:** 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**Severity:** value</w:t>
      </w:r>
      <w:r>
        <w:t xml:space="preserve"> </w:t>
      </w:r>
      <w:r>
        <w:t xml:space="preserve">(case-insensitive, via</w:t>
      </w:r>
      <w:r>
        <w:t xml:space="preserve"> </w:t>
      </w:r>
      <w:r>
        <w:rPr>
          <w:rStyle w:val="VerbatimChar"/>
        </w:rPr>
        <w:t xml:space="preserve">metaRe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 heading whose body contains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**Status:**</w:t>
      </w:r>
      <w:r>
        <w:rPr>
          <w:b/>
          <w:bCs/>
        </w:rPr>
        <w:t xml:space="preserve"> </w:t>
      </w:r>
      <w:r>
        <w:rPr>
          <w:b/>
          <w:bCs/>
        </w:rPr>
        <w:t xml:space="preserve">line is treated as a section header and skipped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if status == "" { continue }</w:t>
      </w:r>
      <w:r>
        <w:t xml:space="preserve"> </w:t>
      </w:r>
      <w:r>
        <w:t xml:space="preserve">guard). So</w:t>
      </w:r>
      <w:r>
        <w:t xml:space="preserve"> </w:t>
      </w:r>
      <w:r>
        <w:rPr>
          <w:rStyle w:val="VerbatimChar"/>
        </w:rPr>
        <w:t xml:space="preserve">## A. Global blockers</w:t>
      </w:r>
      <w:r>
        <w:t xml:space="preserve">, which has only prose under it, never becomes an</w:t>
      </w:r>
      <w:r>
        <w:t xml:space="preserve"> </w:t>
      </w:r>
      <w:r>
        <w:rPr>
          <w:rStyle w:val="VerbatimChar"/>
        </w:rPr>
        <w:t xml:space="preserve">Item</w:t>
      </w:r>
      <w:r>
        <w:t xml:space="preserve"> </w:t>
      </w:r>
      <w:r>
        <w:t xml:space="preserve">— confirmed by</w:t>
      </w:r>
      <w:r>
        <w:t xml:space="preserve"> </w:t>
      </w:r>
      <w:r>
        <w:rPr>
          <w:rStyle w:val="VerbatimChar"/>
        </w:rPr>
        <w:t xml:space="preserve">TestParseTracker_SectionHeaderSkipped</w:t>
      </w:r>
      <w:r>
        <w:t xml:space="preserve">.</w:t>
      </w:r>
    </w:p>
    <w:bookmarkEnd w:id="26"/>
    <w:bookmarkStart w:id="27" w:name="X47f4d9a4656c8224ab126503bf9a3109d646eaa"/>
    <w:p>
      <w:pPr>
        <w:pStyle w:val="Heading3"/>
      </w:pPr>
      <w:r>
        <w:t xml:space="preserve">§6.3 Derived stable ids</w:t>
      </w:r>
    </w:p>
    <w:p>
      <w:pPr>
        <w:pStyle w:val="FirstParagraph"/>
      </w:pPr>
      <w:r>
        <w:t xml:space="preserve">A heading carrying a</w:t>
      </w:r>
      <w:r>
        <w:t xml:space="preserve"> </w:t>
      </w:r>
      <w:r>
        <w:rPr>
          <w:rStyle w:val="VerbatimChar"/>
        </w:rPr>
        <w:t xml:space="preserve">[ATM-NNN]</w:t>
      </w:r>
      <w:r>
        <w:t xml:space="preserve"> </w:t>
      </w:r>
      <w:r>
        <w:t xml:space="preserve">bracket takes that as its id. A heading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one gets a stable, deterministic id:</w:t>
      </w:r>
      <w:r>
        <w:t xml:space="preserve"> </w:t>
      </w:r>
      <w:r>
        <w:rPr>
          <w:rStyle w:val="VerbatimChar"/>
        </w:rPr>
        <w:t xml:space="preserve">deriveID</w:t>
      </w:r>
      <w:r>
        <w:t xml:space="preserve"> </w:t>
      </w:r>
      <w:r>
        <w:t xml:space="preserve">computes</w:t>
      </w:r>
      <w:r>
        <w:t xml:space="preserve"> </w:t>
      </w:r>
      <w:r>
        <w:rPr>
          <w:rStyle w:val="VerbatimChar"/>
        </w:rPr>
        <w:t xml:space="preserve">sha1(heading text)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"ATM-DERIVED-" + first 8 hex chars</w:t>
      </w:r>
      <w:r>
        <w:t xml:space="preserve">. Parsing the same heading text again yields the same id (verified by</w:t>
      </w:r>
      <w:r>
        <w:t xml:space="preserve"> </w:t>
      </w:r>
      <w:r>
        <w:rPr>
          <w:rStyle w:val="VerbatimChar"/>
        </w:rPr>
        <w:t xml:space="preserve">TestParseTracker_DerivesStableIDWhenNoBracket</w:t>
      </w:r>
      <w:r>
        <w:t xml:space="preserve">), so a bracket-less item keeps a stable identity across reparse.</w:t>
      </w:r>
    </w:p>
    <w:bookmarkEnd w:id="27"/>
    <w:bookmarkStart w:id="28" w:name="X2c3a4b6cde92f2e709993612abc13894ded6c40"/>
    <w:p>
      <w:pPr>
        <w:pStyle w:val="Heading3"/>
      </w:pPr>
      <w:r>
        <w:t xml:space="preserve">§6.4 What ParseTracker populates</w:t>
      </w:r>
    </w:p>
    <w:p>
      <w:pPr>
        <w:pStyle w:val="FirstParagraph"/>
      </w:pPr>
      <w:r>
        <w:t xml:space="preserve">A parsed</w:t>
      </w:r>
      <w:r>
        <w:t xml:space="preserve"> </w:t>
      </w:r>
      <w:r>
        <w:rPr>
          <w:rStyle w:val="VerbatimChar"/>
        </w:rPr>
        <w:t xml:space="preserve">Item</w:t>
      </w:r>
      <w:r>
        <w:t xml:space="preserve"> </w:t>
      </w:r>
      <w:r>
        <w:t xml:space="preserve">gets</w:t>
      </w:r>
      <w:r>
        <w:t xml:space="preserve"> </w:t>
      </w:r>
      <w:r>
        <w:rPr>
          <w:rStyle w:val="VerbatimChar"/>
        </w:rPr>
        <w:t xml:space="preserve">AtmID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CurrentLocation</w:t>
      </w:r>
      <w:r>
        <w:t xml:space="preserve"> </w:t>
      </w:r>
      <w:r>
        <w:t xml:space="preserve">(from the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argument), and</w:t>
      </w:r>
      <w:r>
        <w:t xml:space="preserve"> </w:t>
      </w:r>
      <w:r>
        <w:rPr>
          <w:rStyle w:val="VerbatimChar"/>
        </w:rPr>
        <w:t xml:space="preserve">BodyMd</w:t>
      </w:r>
      <w:r>
        <w:t xml:space="preserve"> </w:t>
      </w:r>
      <w:r>
        <w:t xml:space="preserve">(the raw body block, right-trimmed of trailing newlines, never bleeding into the next heading — see the body-isolation assertion in</w:t>
      </w:r>
      <w:r>
        <w:t xml:space="preserve"> </w:t>
      </w:r>
      <w:r>
        <w:rPr>
          <w:rStyle w:val="VerbatimChar"/>
        </w:rPr>
        <w:t xml:space="preserve">TestParseTracker_RepresentativeItem</w:t>
      </w:r>
      <w:r>
        <w:t xml:space="preserve">). The remaining</w:t>
      </w:r>
      <w:r>
        <w:t xml:space="preserve"> </w:t>
      </w:r>
      <w:r>
        <w:rPr>
          <w:rStyle w:val="VerbatimChar"/>
        </w:rPr>
        <w:t xml:space="preserve">Item</w:t>
      </w:r>
      <w:r>
        <w:t xml:space="preserve"> </w:t>
      </w:r>
      <w:r>
        <w:t xml:space="preserve">fields (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ForensicAnchor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ClosureCriteria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ComposesWith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LastModified</w:t>
      </w:r>
      <w:r>
        <w:t xml:space="preserve">) are</w:t>
      </w:r>
      <w:r>
        <w:t xml:space="preserve"> </w:t>
      </w:r>
      <w:r>
        <w:rPr>
          <w:b/>
          <w:bCs/>
        </w:rPr>
        <w:t xml:space="preserve">left zero</w:t>
      </w:r>
      <w:r>
        <w:t xml:space="preserve"> </w:t>
      </w:r>
      <w:r>
        <w:t xml:space="preserve">by the parser; they are populated (if at all) by other layers, not here.</w:t>
      </w:r>
    </w:p>
    <w:bookmarkEnd w:id="28"/>
    <w:bookmarkEnd w:id="29"/>
    <w:bookmarkStart w:id="30" w:name="Xa5aebdcb3e2bc6e45c36edb4093e26071dde0d0"/>
    <w:p>
      <w:pPr>
        <w:pStyle w:val="Heading2"/>
      </w:pPr>
      <w:r>
        <w:t xml:space="preserve">§7. Pure-Go SQLite — why no CGO</w:t>
      </w:r>
    </w:p>
    <w:p>
      <w:pPr>
        <w:pStyle w:val="FirstParagraph"/>
      </w:pPr>
      <w:r>
        <w:t xml:space="preserve">The module imports</w:t>
      </w:r>
      <w:r>
        <w:t xml:space="preserve"> </w:t>
      </w:r>
      <w:r>
        <w:rPr>
          <w:rStyle w:val="VerbatimChar"/>
        </w:rPr>
        <w:t xml:space="preserve">modernc.org/sqlite</w:t>
      </w:r>
      <w:r>
        <w:t xml:space="preserve"> </w:t>
      </w:r>
      <w:r>
        <w:t xml:space="preserve">(registered as the</w:t>
      </w:r>
      <w:r>
        <w:t xml:space="preserve"> </w:t>
      </w:r>
      <w:r>
        <w:rPr>
          <w:rStyle w:val="VerbatimChar"/>
        </w:rPr>
        <w:t xml:space="preserve">"sqlite"</w:t>
      </w:r>
      <w:r>
        <w:t xml:space="preserve"> </w:t>
      </w:r>
      <w:r>
        <w:t xml:space="preserve">driver via a blank import in</w:t>
      </w:r>
      <w:r>
        <w:t xml:space="preserve"> </w:t>
      </w:r>
      <w:r>
        <w:rPr>
          <w:rStyle w:val="VerbatimChar"/>
        </w:rPr>
        <w:t xml:space="preserve">store.go</w:t>
      </w:r>
      <w:r>
        <w:t xml:space="preserve">), the</w:t>
      </w:r>
      <w:r>
        <w:t xml:space="preserve"> </w:t>
      </w:r>
      <w:r>
        <w:rPr>
          <w:b/>
          <w:bCs/>
        </w:rPr>
        <w:t xml:space="preserve">pure-Go</w:t>
      </w:r>
      <w:r>
        <w:t xml:space="preserve"> </w:t>
      </w:r>
      <w:r>
        <w:t xml:space="preserve">SQLite implementation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CGO</w:t>
      </w:r>
      <w:r>
        <w:t xml:space="preserve"> </w:t>
      </w:r>
      <w:r>
        <w:rPr>
          <w:rStyle w:val="VerbatimChar"/>
        </w:rPr>
        <w:t xml:space="preserve">mattn/go-sqlite3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go.mod</w:t>
      </w:r>
      <w:r>
        <w:t xml:space="preserve"> </w:t>
      </w:r>
      <w:r>
        <w:t xml:space="preserve">module doc states the rationale directly: "It uses the PURE-GO</w:t>
      </w:r>
      <w:r>
        <w:t xml:space="preserve"> </w:t>
      </w:r>
      <w:r>
        <w:rPr>
          <w:rStyle w:val="VerbatimChar"/>
        </w:rPr>
        <w:t xml:space="preserve">modernc.org/sqlite</w:t>
      </w:r>
      <w:r>
        <w:t xml:space="preserve"> </w:t>
      </w:r>
      <w:r>
        <w:t xml:space="preserve">driver (no CGO) so it builds and tests anywhere without a C toolchain."</w:t>
      </w:r>
    </w:p>
    <w:p>
      <w:pPr>
        <w:pStyle w:val="BodyText"/>
      </w:pPr>
      <w:r>
        <w:t xml:space="preserve">This is an anti-bluff (§107 / Helix §11.4) choice with concrete payoff: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In-process tests need no container.</w:t>
      </w:r>
      <w:r>
        <w:t xml:space="preserve"> </w:t>
      </w:r>
      <w:r>
        <w:t xml:space="preserve">Every test opens a real on-disk DB under</w:t>
      </w:r>
      <w:r>
        <w:t xml:space="preserve"> </w:t>
      </w:r>
      <w:r>
        <w:rPr>
          <w:rStyle w:val="VerbatimChar"/>
        </w:rPr>
        <w:t xml:space="preserve">t.TempDir()</w:t>
      </w:r>
      <w:r>
        <w:t xml:space="preserve"> </w:t>
      </w:r>
      <w:r>
        <w:t xml:space="preserve">and exercises real SQL — no Postgres/Redis container, no</w:t>
      </w:r>
      <w:r>
        <w:t xml:space="preserve"> </w:t>
      </w:r>
      <w:r>
        <w:rPr>
          <w:rStyle w:val="VerbatimChar"/>
        </w:rPr>
        <w:t xml:space="preserve">CGO_ENABLED=1</w:t>
      </w:r>
      <w:r>
        <w:t xml:space="preserve">, no C compiler. The PASS is genuine end-to-end SQLite behaviour, not a mock.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Cross-platform reproducibility.</w:t>
      </w:r>
      <w:r>
        <w:t xml:space="preserve"> </w:t>
      </w:r>
      <w:r>
        <w:rPr>
          <w:rStyle w:val="VerbatimChar"/>
        </w:rPr>
        <w:t xml:space="preserve">go build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go test</w:t>
      </w:r>
      <w:r>
        <w:t xml:space="preserve"> </w:t>
      </w:r>
      <w:r>
        <w:t xml:space="preserve">work on any host the Go toolchain supports without platform-specific C build steps.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Single-binary flavors.</w:t>
      </w:r>
      <w:r>
        <w:t xml:space="preserve"> </w:t>
      </w:r>
      <w:r>
        <w:t xml:space="preserve">The flavor binaries that depend on this module stay statically linkable without CGO.</w:t>
      </w:r>
    </w:p>
    <w:bookmarkEnd w:id="30"/>
    <w:bookmarkStart w:id="34" w:name="X7fc97b9f2dcc61821c5cf0414c8eef033243b12"/>
    <w:p>
      <w:pPr>
        <w:pStyle w:val="Heading2"/>
      </w:pPr>
      <w:r>
        <w:t xml:space="preserve">§8. Usage examples</w:t>
      </w:r>
    </w:p>
    <w:bookmarkStart w:id="31" w:name="X7fc51f243af409a19fb816998b0936b0d310e27"/>
    <w:p>
      <w:pPr>
        <w:pStyle w:val="Heading3"/>
      </w:pPr>
      <w:r>
        <w:t xml:space="preserve">§8.1 Open, create, read, list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workable </w:t>
      </w:r>
      <w:r>
        <w:rPr>
          <w:rStyle w:val="StringTok"/>
        </w:rPr>
        <w:t xml:space="preserve">"github.com/vasic-digital/herald/commons_workable"</w:t>
      </w:r>
      <w:r>
        <w:br/>
      </w:r>
      <w:r>
        <w:br/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workable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"/path/to/workable_items.db"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handle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repo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workable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NewRepo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ctx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workable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AtmID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"ATM-238"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"Bug"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"Operator-blocked"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MUST be in StatusValues</w:t>
      </w:r>
      <w:r>
        <w:br/>
      </w:r>
      <w:r>
        <w:rPr>
          <w:rStyle w:val="NormalTok"/>
        </w:rPr>
        <w:t xml:space="preserve">  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"Critical"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"Netflix login failure on D3"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CurrentLocation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"Issues"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ComposesWith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`["ATM-100"]`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JSON array as text</w:t>
      </w:r>
      <w:r>
        <w:br/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"ATM-238"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"Issues"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(nil,nil) if absent</w:t>
      </w:r>
      <w:r>
        <w:br/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"Issues"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ordered by atm_id</w:t>
      </w:r>
    </w:p>
    <w:bookmarkEnd w:id="31"/>
    <w:bookmarkStart w:id="32" w:name="X34d572259679c87de85fad7bcaac5c32370dae4"/>
    <w:p>
      <w:pPr>
        <w:pStyle w:val="Heading3"/>
      </w:pPr>
      <w:r>
        <w:t xml:space="preserve">§8.2 Parse a tracker and diff against the DB snapshot</w:t>
      </w:r>
    </w:p>
    <w:p>
      <w:pPr>
        <w:pStyle w:val="SourceCode"/>
      </w:pPr>
      <w:r>
        <w:rPr>
          <w:rStyle w:val="NormalTok"/>
        </w:rPr>
        <w:t xml:space="preserve">parsed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workable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ParseTracker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markdownText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"Issues"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"Issues"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changes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workable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Diff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changes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workable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KindStatusChanged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c.Field == "status", c.Old -&gt; c.New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workable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KindCreated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workable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KindDeleted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lifecycle: c.AtmID / c.Location only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2"/>
    <w:bookmarkStart w:id="33" w:name="X4cff760ba839bda31943ffce3fb8932b491b807"/>
    <w:p>
      <w:pPr>
        <w:pStyle w:val="Heading3"/>
      </w:pPr>
      <w:r>
        <w:t xml:space="preserve">§8.3 Detecting "not found"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workable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ErrNotFound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 row matched (it.AtmID, it.CurrentLocation)</w:t>
      </w:r>
      <w:r>
        <w:br/>
      </w:r>
      <w:r>
        <w:rPr>
          <w:rStyle w:val="OperatorTok"/>
        </w:rPr>
        <w:t xml:space="preserve">}</w:t>
      </w:r>
    </w:p>
    <w:bookmarkEnd w:id="33"/>
    <w:bookmarkEnd w:id="34"/>
    <w:bookmarkStart w:id="35" w:name="X9e3d161fa7cfe07773ec589d3b317060b89b7de"/>
    <w:p>
      <w:pPr>
        <w:pStyle w:val="Heading2"/>
      </w:pPr>
      <w:r>
        <w:t xml:space="preserve">§9. Testing notes</w:t>
      </w:r>
    </w:p>
    <w:p>
      <w:pPr>
        <w:pStyle w:val="FirstParagraph"/>
      </w:pPr>
      <w:r>
        <w:t xml:space="preserve">All tests live alongside the source in</w:t>
      </w:r>
      <w:r>
        <w:t xml:space="preserve"> </w:t>
      </w:r>
      <w:r>
        <w:rPr>
          <w:rStyle w:val="VerbatimChar"/>
        </w:rPr>
        <w:t xml:space="preserve">commons_workable/</w:t>
      </w:r>
      <w:r>
        <w:t xml:space="preserve"> </w:t>
      </w:r>
      <w:r>
        <w:t xml:space="preserve">and run with no external services (pure-Go SQLite, §7):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-race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./commons_workable/...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file</w:t>
            </w:r>
          </w:p>
        </w:tc>
        <w:tc>
          <w:tcPr/>
          <w:p>
            <w:pPr>
              <w:pStyle w:val="Compact"/>
            </w:pPr>
            <w:r>
              <w:t xml:space="preserve">Covers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store_test.go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</w:t>
            </w:r>
            <w:r>
              <w:t xml:space="preserve"> </w:t>
            </w:r>
            <w:r>
              <w:t xml:space="preserve">creates all 3 tables, WAL active,</w:t>
            </w:r>
            <w:r>
              <w:t xml:space="preserve"> </w:t>
            </w:r>
            <w:r>
              <w:rPr>
                <w:rStyle w:val="VerbatimChar"/>
              </w:rPr>
              <w:t xml:space="preserve">foreign_keys=1</w:t>
            </w:r>
            <w:r>
              <w:t xml:space="preserve">, idempotent re-open.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crud_test.go</w:t>
            </w:r>
          </w:p>
        </w:tc>
        <w:tc>
          <w:tcPr/>
          <w:p>
            <w:pPr>
              <w:pStyle w:val="Compact"/>
            </w:pPr>
            <w:r>
              <w:t xml:space="preserve">Full CRUD round-trip;</w:t>
            </w:r>
            <w:r>
              <w:t xml:space="preserve"> </w:t>
            </w:r>
            <w:r>
              <w:rPr>
                <w:rStyle w:val="VerbatimChar"/>
              </w:rPr>
              <w:t xml:space="preserve">(nil,nil)</w:t>
            </w:r>
            <w:r>
              <w:t xml:space="preserve"> </w:t>
            </w:r>
            <w:r>
              <w:t xml:space="preserve">on absent</w:t>
            </w:r>
            <w:r>
              <w:t xml:space="preserve"> </w:t>
            </w:r>
            <w:r>
              <w:rPr>
                <w:rStyle w:val="VerbatimChar"/>
              </w:rPr>
              <w:t xml:space="preserve">GetByID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Create</w:t>
            </w:r>
            <w:r>
              <w:t xml:space="preserve"> </w:t>
            </w:r>
            <w:r>
              <w:t xml:space="preserve">rejects unknown + empty status;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/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loud-on-missing.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changefeed_test.go</w:t>
            </w:r>
          </w:p>
        </w:tc>
        <w:tc>
          <w:tcPr/>
          <w:p>
            <w:pPr>
              <w:pStyle w:val="Compact"/>
            </w:pPr>
            <w:r>
              <w:t xml:space="preserve">Each of the 5 Kinds; field-order determinism; cross-item</w:t>
            </w:r>
            <w:r>
              <w:t xml:space="preserve"> </w:t>
            </w:r>
            <w:r>
              <w:rPr>
                <w:rStyle w:val="VerbatimChar"/>
              </w:rPr>
              <w:t xml:space="preserve">atm_id</w:t>
            </w:r>
            <w:r>
              <w:t xml:space="preserve"> </w:t>
            </w:r>
            <w:r>
              <w:t xml:space="preserve">ordering; no-change → empty.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parser_test.go</w:t>
            </w:r>
          </w:p>
        </w:tc>
        <w:tc>
          <w:tcPr/>
          <w:p>
            <w:pPr>
              <w:pStyle w:val="Compact"/>
            </w:pPr>
            <w:r>
              <w:t xml:space="preserve">Representative real-format tracker; plain-prefix item; section-header skip; derived-id stability; exact item count (3 from the fixture).</w:t>
            </w:r>
          </w:p>
        </w:tc>
      </w:tr>
    </w:tbl>
    <w:p>
      <w:pPr>
        <w:pStyle w:val="BodyText"/>
      </w:pPr>
      <w:r>
        <w:t xml:space="preserve">Anti-bluff observations worth preserving when editing tests: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crud_test.go</w:t>
      </w:r>
      <w:r>
        <w:t xml:space="preserve"> </w:t>
      </w:r>
      <w:r>
        <w:t xml:space="preserve">round-trip asserts</w:t>
      </w:r>
      <w:r>
        <w:t xml:space="preserve"> </w:t>
      </w:r>
      <w:r>
        <w:rPr>
          <w:rStyle w:val="VerbatimChar"/>
        </w:rPr>
        <w:t xml:space="preserve">*got == in</w:t>
      </w:r>
      <w:r>
        <w:t xml:space="preserve"> </w:t>
      </w:r>
      <w:r>
        <w:t xml:space="preserve">(whole-struct equality), so a dropped column would fail loudly.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parser_test.go</w:t>
      </w:r>
      <w:r>
        <w:t xml:space="preserve"> </w:t>
      </w:r>
      <w:r>
        <w:t xml:space="preserve">asserts</w:t>
      </w:r>
      <w:r>
        <w:t xml:space="preserve"> </w:t>
      </w:r>
      <w:r>
        <w:rPr>
          <w:rStyle w:val="VerbatimChar"/>
        </w:rPr>
        <w:t xml:space="preserve">body_md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bleed into the next heading — the body-isolation invariant.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changefeed_test.go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reflect.DeepEqual</w:t>
      </w:r>
      <w:r>
        <w:t xml:space="preserve"> </w:t>
      </w:r>
      <w:r>
        <w:t xml:space="preserve">on the full</w:t>
      </w:r>
      <w:r>
        <w:t xml:space="preserve"> </w:t>
      </w:r>
      <w:r>
        <w:rPr>
          <w:rStyle w:val="VerbatimChar"/>
        </w:rPr>
        <w:t xml:space="preserve">[]Change</w:t>
      </w:r>
      <w:r>
        <w:t xml:space="preserve">, so any ordering or field drift fails.</w:t>
      </w:r>
    </w:p>
    <w:bookmarkEnd w:id="35"/>
    <w:bookmarkStart w:id="36" w:name="X3b4c3db7819ed66f453f0c9b146c43e80460b49"/>
    <w:p>
      <w:pPr>
        <w:pStyle w:val="Heading2"/>
      </w:pPr>
      <w:r>
        <w:t xml:space="preserve">§10. References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commons_workable/{store.go, item.go, crud.go, changefeed.go, parser.go}</w:t>
      </w:r>
      <w:r>
        <w:t xml:space="preserve"> </w:t>
      </w:r>
      <w:r>
        <w:t xml:space="preserve">and their</w:t>
      </w:r>
      <w:r>
        <w:t xml:space="preserve"> </w:t>
      </w:r>
      <w:r>
        <w:rPr>
          <w:rStyle w:val="VerbatimChar"/>
        </w:rPr>
        <w:t xml:space="preserve">_test.go</w:t>
      </w:r>
      <w:r>
        <w:t xml:space="preserve"> </w:t>
      </w:r>
      <w:r>
        <w:t xml:space="preserve">siblings.</w:t>
      </w:r>
    </w:p>
    <w:p>
      <w:pPr>
        <w:pStyle w:val="Compact"/>
        <w:numPr>
          <w:ilvl w:val="0"/>
          <w:numId w:val="1005"/>
        </w:numPr>
      </w:pPr>
      <w:r>
        <w:t xml:space="preserve">Module doc:</w:t>
      </w:r>
      <w:r>
        <w:t xml:space="preserve"> </w:t>
      </w:r>
      <w:r>
        <w:rPr>
          <w:rStyle w:val="VerbatimChar"/>
        </w:rPr>
        <w:t xml:space="preserve">commons_workable/go.mod</w:t>
      </w:r>
      <w:r>
        <w:t xml:space="preserve"> </w:t>
      </w:r>
      <w:r>
        <w:t xml:space="preserve">header comment (pure-Go SQLite rationale).</w:t>
      </w:r>
    </w:p>
    <w:p>
      <w:pPr>
        <w:pStyle w:val="Compact"/>
        <w:numPr>
          <w:ilvl w:val="0"/>
          <w:numId w:val="1005"/>
        </w:numPr>
      </w:pPr>
      <w:r>
        <w:t xml:space="preserve">Companion module:</w:t>
      </w:r>
      <w:r>
        <w:t xml:space="preserve"> </w:t>
      </w:r>
      <w:r>
        <w:rPr>
          <w:rStyle w:val="VerbatimChar"/>
        </w:rPr>
        <w:t xml:space="preserve">commons_watch</w:t>
      </w:r>
      <w:r>
        <w:t xml:space="preserve"> </w:t>
      </w:r>
      <w:r>
        <w:t xml:space="preserve">— file watcher over the SSoT + trackers (</w:t>
      </w:r>
      <w:r>
        <w:rPr>
          <w:rStyle w:val="VerbatimChar"/>
        </w:rPr>
        <w:t xml:space="preserve">docs/guides/COMMONS_WATCH.md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Integration:</w:t>
      </w:r>
      <w:r>
        <w:t xml:space="preserve"> </w:t>
      </w:r>
      <w:r>
        <w:rPr>
          <w:rStyle w:val="VerbatimChar"/>
        </w:rPr>
        <w:t xml:space="preserve">docs/guides/WORKABLE_ITEMS_INTEGRATION.md</w:t>
      </w:r>
      <w:r>
        <w:t xml:space="preserve"> </w:t>
      </w:r>
      <w:r>
        <w:t xml:space="preserve">(the outbound/inbound flow this store feeds).</w:t>
      </w:r>
    </w:p>
    <w:p>
      <w:pPr>
        <w:pStyle w:val="Compact"/>
        <w:numPr>
          <w:ilvl w:val="0"/>
          <w:numId w:val="1005"/>
        </w:numPr>
      </w:pPr>
      <w:r>
        <w:t xml:space="preserve">Constitution: Helix §11.4.93 (SQLite SSoT) + §11.4.95 (DB tracked-in-git, canonical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path).</w:t>
      </w:r>
    </w:p>
    <w:bookmarkEnd w:id="36"/>
    <w:bookmarkStart w:id="37" w:name="sources-verified"/>
    <w:p>
      <w:pPr>
        <w:pStyle w:val="Heading2"/>
      </w:pPr>
      <w:r>
        <w:t xml:space="preserve">Sources verified</w:t>
      </w:r>
    </w:p>
    <w:p>
      <w:pPr>
        <w:pStyle w:val="FirstParagraph"/>
      </w:pPr>
      <w:r>
        <w:t xml:space="preserve">This guide documents internal Herald source only; no external service/library online documentation was relied on beyond the vendored</w:t>
      </w:r>
      <w:r>
        <w:t xml:space="preserve"> </w:t>
      </w:r>
      <w:r>
        <w:rPr>
          <w:rStyle w:val="VerbatimChar"/>
        </w:rPr>
        <w:t xml:space="preserve">modernc.org/sqlite</w:t>
      </w:r>
      <w:r>
        <w:t xml:space="preserve"> </w:t>
      </w:r>
      <w:r>
        <w:t xml:space="preserve">already pinned in</w:t>
      </w:r>
      <w:r>
        <w:t xml:space="preserve"> </w:t>
      </w:r>
      <w:r>
        <w:rPr>
          <w:rStyle w:val="VerbatimChar"/>
        </w:rPr>
        <w:t xml:space="preserve">commons_workable/go.mod</w:t>
      </w:r>
      <w:r>
        <w:t xml:space="preserve">. All behavioural claims are grounded in the cited source files as of 2026-05-30.</w:t>
      </w:r>
    </w:p>
    <w:p>
      <w:pPr>
        <w:pStyle w:val="BodyText"/>
      </w:pPr>
      <w:r>
        <w:rPr>
          <w:b/>
          <w:bCs/>
        </w:rPr>
        <w:t xml:space="preserve">Verified 2026-05-30:</w:t>
      </w:r>
      <w:r>
        <w:t xml:space="preserve"> </w:t>
      </w:r>
      <w:r>
        <w:t xml:space="preserve">internal doc — no external online sources. Behavioural claims derive from</w:t>
      </w:r>
      <w:r>
        <w:t xml:space="preserve"> </w:t>
      </w:r>
      <w:r>
        <w:rPr>
          <w:rStyle w:val="VerbatimChar"/>
        </w:rPr>
        <w:t xml:space="preserve">commons_workable/{store.go, item.go, crud.go, changefeed.go, parser.go}</w:t>
      </w:r>
      <w:r>
        <w:t xml:space="preserve"> </w:t>
      </w:r>
      <w:r>
        <w:t xml:space="preserve">+ their</w:t>
      </w:r>
      <w:r>
        <w:t xml:space="preserve"> </w:t>
      </w:r>
      <w:r>
        <w:rPr>
          <w:rStyle w:val="VerbatimChar"/>
        </w:rPr>
        <w:t xml:space="preserve">_test.go</w:t>
      </w:r>
      <w:r>
        <w:t xml:space="preserve"> </w:t>
      </w:r>
      <w:r>
        <w:t xml:space="preserve">siblings (read 2026-05-30); the only third-party dependency is the pure-Go</w:t>
      </w:r>
      <w:r>
        <w:t xml:space="preserve"> </w:t>
      </w:r>
      <w:r>
        <w:rPr>
          <w:rStyle w:val="VerbatimChar"/>
        </w:rPr>
        <w:t xml:space="preserve">modernc.org/sqlite</w:t>
      </w:r>
      <w:r>
        <w:t xml:space="preserve">, pinned in</w:t>
      </w:r>
      <w:r>
        <w:t xml:space="preserve"> </w:t>
      </w:r>
      <w:r>
        <w:rPr>
          <w:rStyle w:val="VerbatimChar"/>
        </w:rPr>
        <w:t xml:space="preserve">commons_workable/go.mod</w:t>
      </w:r>
      <w:r>
        <w:t xml:space="preserve"> </w:t>
      </w:r>
      <w:r>
        <w:t xml:space="preserve">(no online-doc cross-reference required — the API surface used is the vendored, version-pinned one). Re-verify on a</w:t>
      </w:r>
      <w:r>
        <w:t xml:space="preserve"> </w:t>
      </w:r>
      <w:r>
        <w:rPr>
          <w:rStyle w:val="VerbatimChar"/>
        </w:rPr>
        <w:t xml:space="preserve">modernc.org/sqlite</w:t>
      </w:r>
      <w:r>
        <w:t xml:space="preserve"> </w:t>
      </w:r>
      <w:r>
        <w:t xml:space="preserve">major-version bump or a</w:t>
      </w:r>
      <w:r>
        <w:t xml:space="preserve"> </w:t>
      </w:r>
      <w:r>
        <w:rPr>
          <w:rStyle w:val="VerbatimChar"/>
        </w:rPr>
        <w:t xml:space="preserve">commons_workable</w:t>
      </w:r>
      <w:r>
        <w:t xml:space="preserve"> </w:t>
      </w:r>
      <w:r>
        <w:t xml:space="preserve">schema/CRUD API change.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2026-05-30T14:56:51Z</dcterms:created>
  <dcterms:modified xsi:type="dcterms:W3CDTF">2026-05-30T14:56:51Z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