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7" w:name="herald"/>
    <w:p>
      <w:pPr>
        <w:pStyle w:val="Heading1"/>
      </w:pPr>
      <w:r>
        <w:t xml:space="preserve">Herald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Updated spec links to V3 (active) + archive/ for V1/V2; repo-layout block reflects current docs/specs/mvp/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spec-path references updated to specification.V3.md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aligned README with the V1→V2→V3 supersession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tatus">
        <w:r>
          <w:rPr>
            <w:rStyle w:val="Hyperlink"/>
          </w:rPr>
          <w:t xml:space="preserve">Status</w:t>
        </w:r>
      </w:hyperlink>
    </w:p>
    <w:p>
      <w:pPr>
        <w:pStyle w:val="Compact"/>
        <w:numPr>
          <w:ilvl w:val="0"/>
          <w:numId w:val="1001"/>
        </w:numPr>
      </w:pPr>
      <w:hyperlink w:anchor="mission">
        <w:r>
          <w:rPr>
            <w:rStyle w:val="Hyperlink"/>
          </w:rPr>
          <w:t xml:space="preserve">Mission</w:t>
        </w:r>
      </w:hyperlink>
    </w:p>
    <w:p>
      <w:pPr>
        <w:pStyle w:val="Compact"/>
        <w:numPr>
          <w:ilvl w:val="0"/>
          <w:numId w:val="1001"/>
        </w:numPr>
      </w:pPr>
      <w:hyperlink w:anchor="deployment-model">
        <w:r>
          <w:rPr>
            <w:rStyle w:val="Hyperlink"/>
          </w:rPr>
          <w:t xml:space="preserve">Deployment model</w:t>
        </w:r>
      </w:hyperlink>
    </w:p>
    <w:p>
      <w:pPr>
        <w:pStyle w:val="Compact"/>
        <w:numPr>
          <w:ilvl w:val="0"/>
          <w:numId w:val="1001"/>
        </w:numPr>
      </w:pPr>
      <w:hyperlink w:anchor="X80001dac9ac51264ee5159943675023484cb802">
        <w:r>
          <w:rPr>
            <w:rStyle w:val="Hyperlink"/>
          </w:rPr>
          <w:t xml:space="preserve">Governance — Helix Constitution inheritance</w:t>
        </w:r>
      </w:hyperlink>
    </w:p>
    <w:p>
      <w:pPr>
        <w:pStyle w:val="Compact"/>
        <w:numPr>
          <w:ilvl w:val="0"/>
          <w:numId w:val="1001"/>
        </w:numPr>
      </w:pPr>
      <w:hyperlink w:anchor="repository-layout">
        <w:r>
          <w:rPr>
            <w:rStyle w:val="Hyperlink"/>
          </w:rPr>
          <w:t xml:space="preserve">Repository layout</w:t>
        </w:r>
      </w:hyperlink>
    </w:p>
    <w:p>
      <w:pPr>
        <w:pStyle w:val="Compact"/>
        <w:numPr>
          <w:ilvl w:val="0"/>
          <w:numId w:val="1001"/>
        </w:numPr>
      </w:pPr>
      <w:hyperlink w:anchor="quickstart-for-developers-and-agents">
        <w:r>
          <w:rPr>
            <w:rStyle w:val="Hyperlink"/>
          </w:rPr>
          <w:t xml:space="preserve">Quickstart for developers and agents</w:t>
        </w:r>
      </w:hyperlink>
    </w:p>
    <w:p>
      <w:pPr>
        <w:pStyle w:val="Compact"/>
        <w:numPr>
          <w:ilvl w:val="1"/>
          <w:numId w:val="1002"/>
        </w:numPr>
      </w:pPr>
      <w:hyperlink w:anchor="X35378431ec8015390932b28e42d6964f4f9b45b">
        <w:r>
          <w:rPr>
            <w:rStyle w:val="Hyperlink"/>
          </w:rPr>
          <w:t xml:space="preserve">1. Place a copy of the Helix Constitution alongside Herald</w:t>
        </w:r>
      </w:hyperlink>
    </w:p>
    <w:p>
      <w:pPr>
        <w:pStyle w:val="Compact"/>
        <w:numPr>
          <w:ilvl w:val="1"/>
          <w:numId w:val="1002"/>
        </w:numPr>
      </w:pPr>
      <w:hyperlink w:anchor="Xc40abc6fbfefede58fa4628a50b4d998da0274f">
        <w:r>
          <w:rPr>
            <w:rStyle w:val="Hyperlink"/>
          </w:rPr>
          <w:t xml:space="preserve">2. Verify the inheritance contract</w:t>
        </w:r>
      </w:hyperlink>
    </w:p>
    <w:p>
      <w:pPr>
        <w:pStyle w:val="Compact"/>
        <w:numPr>
          <w:ilvl w:val="1"/>
          <w:numId w:val="1002"/>
        </w:numPr>
      </w:pPr>
      <w:hyperlink w:anchor="X656158d4d89821062c6d841c838450ce114ecc9">
        <w:r>
          <w:rPr>
            <w:rStyle w:val="Hyperlink"/>
          </w:rPr>
          <w:t xml:space="preserve">3. Read the inherited rules</w:t>
        </w:r>
      </w:hyperlink>
    </w:p>
    <w:p>
      <w:pPr>
        <w:pStyle w:val="Compact"/>
        <w:numPr>
          <w:ilvl w:val="0"/>
          <w:numId w:val="1001"/>
        </w:numPr>
      </w:pPr>
      <w:hyperlink w:anchor="operator-setup-guides">
        <w:r>
          <w:rPr>
            <w:rStyle w:val="Hyperlink"/>
          </w:rPr>
          <w:t xml:space="preserve">Operator setup guides</w:t>
        </w:r>
      </w:hyperlink>
    </w:p>
    <w:p>
      <w:pPr>
        <w:pStyle w:val="Compact"/>
        <w:numPr>
          <w:ilvl w:val="1"/>
          <w:numId w:val="1003"/>
        </w:numPr>
      </w:pPr>
      <w:hyperlink w:anchor="messengers">
        <w:r>
          <w:rPr>
            <w:rStyle w:val="Hyperlink"/>
          </w:rPr>
          <w:t xml:space="preserve">Messengers</w:t>
        </w:r>
      </w:hyperlink>
    </w:p>
    <w:p>
      <w:pPr>
        <w:pStyle w:val="Compact"/>
        <w:numPr>
          <w:ilvl w:val="1"/>
          <w:numId w:val="1003"/>
        </w:numPr>
      </w:pPr>
      <w:hyperlink w:anchor="llm--agent-dispatchers">
        <w:r>
          <w:rPr>
            <w:rStyle w:val="Hyperlink"/>
          </w:rPr>
          <w:t xml:space="preserve">LLM / agent dispatchers</w:t>
        </w:r>
      </w:hyperlink>
    </w:p>
    <w:p>
      <w:pPr>
        <w:pStyle w:val="Compact"/>
        <w:numPr>
          <w:ilvl w:val="1"/>
          <w:numId w:val="1003"/>
        </w:numPr>
      </w:pPr>
      <w:hyperlink w:anchor="credentials-master-guide">
        <w:r>
          <w:rPr>
            <w:rStyle w:val="Hyperlink"/>
          </w:rPr>
          <w:t xml:space="preserve">Credentials master guide</w:t>
        </w:r>
      </w:hyperlink>
    </w:p>
    <w:p>
      <w:pPr>
        <w:pStyle w:val="Compact"/>
        <w:numPr>
          <w:ilvl w:val="0"/>
          <w:numId w:val="1001"/>
        </w:numPr>
      </w:pPr>
      <w:hyperlink w:anchor="mirror-push-convention">
        <w:r>
          <w:rPr>
            <w:rStyle w:val="Hyperlink"/>
          </w:rPr>
          <w:t xml:space="preserve">Mirror &amp; push convention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Compact"/>
        <w:numPr>
          <w:ilvl w:val="0"/>
          <w:numId w:val="1001"/>
        </w:numPr>
      </w:pPr>
      <w:hyperlink w:anchor="contact-contribution">
        <w:r>
          <w:rPr>
            <w:rStyle w:val="Hyperlink"/>
          </w:rPr>
          <w:t xml:space="preserve">Contact / contribution</w:t>
        </w:r>
      </w:hyperlink>
    </w:p>
    <w:p>
      <w:pPr>
        <w:pStyle w:val="FirstParagraph"/>
      </w:pPr>
      <w:r>
        <w:t xml:space="preserve">Ingesting system events and reliably fanning them out to multiple notification channels so every alert reaches the right destination without confusion.</w:t>
      </w:r>
    </w:p>
    <w:p>
      <w:r>
        <w:pict>
          <v:rect style="width:0;height:1.5pt" o:hralign="center" o:hrstd="t" o:hr="t"/>
        </w:pict>
      </w:r>
    </w:p>
    <w:bookmarkEnd w:id="9"/>
    <w:bookmarkStart w:id="1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Herald is</w:t>
      </w:r>
      <w:r>
        <w:t xml:space="preserve"> </w:t>
      </w:r>
      <w:r>
        <w:rPr>
          <w:b/>
          <w:bCs/>
        </w:rPr>
        <w:t xml:space="preserve">pre-implementation</w:t>
      </w:r>
      <w:r>
        <w:t xml:space="preserve"> </w:t>
      </w:r>
      <w:r>
        <w:t xml:space="preserve">(2026-05-15). The repository currently contains:</w:t>
      </w:r>
    </w:p>
    <w:p>
      <w:pPr>
        <w:pStyle w:val="Compact"/>
        <w:numPr>
          <w:ilvl w:val="0"/>
          <w:numId w:val="1004"/>
        </w:numPr>
      </w:pPr>
      <w:r>
        <w:t xml:space="preserve">This README.</w:t>
      </w:r>
    </w:p>
    <w:p>
      <w:pPr>
        <w:pStyle w:val="Compact"/>
        <w:numPr>
          <w:ilvl w:val="0"/>
          <w:numId w:val="1004"/>
        </w:numPr>
      </w:pPr>
      <w:r>
        <w:t xml:space="preserve">The current specification at</w:t>
      </w:r>
      <w:r>
        <w:t xml:space="preserve"> </w:t>
      </w:r>
      <w:hyperlink r:id="rId10">
        <w:r>
          <w:rPr>
            <w:rStyle w:val="VerbatimChar"/>
          </w:rPr>
          <w:t xml:space="preserve">docs/specs/mvp/specification.V3.md</w:t>
        </w:r>
      </w:hyperlink>
      <w:r>
        <w:t xml:space="preserve"> </w:t>
      </w:r>
      <w:r>
        <w:t xml:space="preserve">— comprehensive (~3900 lines): project-integration contract, inbound processing pipeline, LLM/agent dispatch with Claude Code, tri-stage reply protocol, versioned reports, multi-format outbound attachments, nine refined flavors. V1 and V2 preserved in</w:t>
      </w:r>
      <w:r>
        <w:t xml:space="preserve"> </w:t>
      </w:r>
      <w:hyperlink r:id="rId11">
        <w:r>
          <w:rPr>
            <w:rStyle w:val="VerbatimChar"/>
          </w:rPr>
          <w:t xml:space="preserve">docs/specs/mvp/archive/</w:t>
        </w:r>
      </w:hyperlink>
      <w:r>
        <w:t xml:space="preserve"> </w:t>
      </w:r>
      <w:r>
        <w:t xml:space="preserve">for traceability.</w:t>
      </w:r>
    </w:p>
    <w:p>
      <w:pPr>
        <w:pStyle w:val="Compact"/>
        <w:numPr>
          <w:ilvl w:val="0"/>
          <w:numId w:val="1004"/>
        </w:numPr>
      </w:pPr>
      <w:r>
        <w:t xml:space="preserve">Project-specific Constitution + operator/agent guides under</w:t>
      </w:r>
      <w:r>
        <w:t xml:space="preserve"> </w:t>
      </w:r>
      <w:hyperlink r:id="rId12">
        <w:r>
          <w:rPr>
            <w:rStyle w:val="VerbatimChar"/>
          </w:rPr>
          <w:t xml:space="preserve">docs/guides/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Mirror declarations at</w:t>
      </w:r>
      <w:r>
        <w:t xml:space="preserve"> </w:t>
      </w:r>
      <w:hyperlink r:id="rId13">
        <w:r>
          <w:rPr>
            <w:rStyle w:val="VerbatimChar"/>
          </w:rPr>
          <w:t xml:space="preserve">upstreams/</w:t>
        </w:r>
      </w:hyperlink>
      <w:r>
        <w:t xml:space="preserve"> </w:t>
      </w:r>
      <w:r>
        <w:t xml:space="preserve">— one shell script per host that exports</w:t>
      </w:r>
      <w:r>
        <w:t xml:space="preserve"> </w:t>
      </w:r>
      <w:r>
        <w:rPr>
          <w:rStyle w:val="VerbatimChar"/>
        </w:rPr>
        <w:t xml:space="preserve">UPSTREAMABLE_REPOSITORY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inheritance gate + paired mutation meta-test at</w:t>
      </w:r>
      <w:r>
        <w:t xml:space="preserve"> </w:t>
      </w:r>
      <w:hyperlink r:id="rId14">
        <w:r>
          <w:rPr>
            <w:rStyle w:val="VerbatimChar"/>
          </w:rPr>
          <w:t xml:space="preserve">tests/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tuned for Go (</w:t>
      </w:r>
      <w:r>
        <w:rPr>
          <w:rStyle w:val="VerbatimChar"/>
        </w:rPr>
        <w:t xml:space="preserve">*.test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go.work*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coverage.*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, no Go source code, and no build tooling yet. Intended language is Go; standard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layout will be used when scaffolding starts.</w:t>
      </w:r>
    </w:p>
    <w:bookmarkEnd w:id="15"/>
    <w:bookmarkStart w:id="16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Herald sits between systems that</w:t>
      </w:r>
      <w:r>
        <w:t xml:space="preserve"> </w:t>
      </w:r>
      <w:r>
        <w:rPr>
          <w:b/>
          <w:bCs/>
        </w:rPr>
        <w:t xml:space="preserve">emit events</w:t>
      </w:r>
      <w:r>
        <w:t xml:space="preserve"> </w:t>
      </w:r>
      <w:r>
        <w:t xml:space="preserve">and humans/services that</w:t>
      </w:r>
      <w:r>
        <w:t xml:space="preserve"> </w:t>
      </w:r>
      <w:r>
        <w:rPr>
          <w:b/>
          <w:bCs/>
        </w:rPr>
        <w:t xml:space="preserve">want to be told about them</w:t>
      </w:r>
      <w:r>
        <w:t xml:space="preserve">. It guarantees:</w:t>
      </w:r>
    </w:p>
    <w:p>
      <w:pPr>
        <w:pStyle w:val="Compact"/>
        <w:numPr>
          <w:ilvl w:val="0"/>
          <w:numId w:val="1005"/>
        </w:numPr>
      </w:pPr>
      <w:r>
        <w:t xml:space="preserve">Every event is delivered to every configured channel for its category.</w:t>
      </w:r>
    </w:p>
    <w:p>
      <w:pPr>
        <w:pStyle w:val="Compact"/>
        <w:numPr>
          <w:ilvl w:val="0"/>
          <w:numId w:val="1005"/>
        </w:numPr>
      </w:pPr>
      <w:r>
        <w:t xml:space="preserve">Duplicate suppression and routing are explicit, not accidental.</w:t>
      </w:r>
    </w:p>
    <w:p>
      <w:pPr>
        <w:pStyle w:val="Compact"/>
        <w:numPr>
          <w:ilvl w:val="0"/>
          <w:numId w:val="1005"/>
        </w:numPr>
      </w:pPr>
      <w:r>
        <w:t xml:space="preserve">Delivery failures on one channel never block delivery to other channels.</w:t>
      </w:r>
    </w:p>
    <w:bookmarkEnd w:id="16"/>
    <w:bookmarkStart w:id="18" w:name="deployment-model"/>
    <w:p>
      <w:pPr>
        <w:pStyle w:val="Heading2"/>
      </w:pPr>
      <w:r>
        <w:t xml:space="preserve">Deployment model</w:t>
      </w:r>
    </w:p>
    <w:p>
      <w:pPr>
        <w:pStyle w:val="FirstParagraph"/>
      </w:pPr>
      <w:r>
        <w:t xml:space="preserve">Herald is designed to be consumed as a</w:t>
      </w:r>
      <w:r>
        <w:t xml:space="preserve"> </w:t>
      </w:r>
      <w:r>
        <w:rPr>
          <w:b/>
          <w:bCs/>
        </w:rPr>
        <w:t xml:space="preserve">git submodule</w:t>
      </w:r>
      <w:r>
        <w:t xml:space="preserve"> </w:t>
      </w:r>
      <w:r>
        <w:t xml:space="preserve">of a larger project (the "consuming project"). The consuming project provides: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Helix Constitution</w:t>
      </w:r>
      <w:r>
        <w:t xml:space="preserve"> </w:t>
      </w:r>
      <w:r>
        <w:t xml:space="preserve">submodule at its own</w:t>
      </w:r>
      <w:r>
        <w:t xml:space="preserve"> </w:t>
      </w:r>
      <w:r>
        <w:rPr>
          <w:rStyle w:val="VerbatimChar"/>
        </w:rPr>
        <w:t xml:space="preserve">&lt;consuming-project&gt;/constitution/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Its own CI / build orchestration that drives Herald.</w:t>
      </w:r>
    </w:p>
    <w:p>
      <w:pPr>
        <w:pStyle w:val="Compact"/>
        <w:numPr>
          <w:ilvl w:val="0"/>
          <w:numId w:val="1006"/>
        </w:numPr>
      </w:pPr>
      <w:r>
        <w:t xml:space="preserve">Any project-wide configuration (credentials, deployment targets, channel registries).</w:t>
      </w:r>
    </w:p>
    <w:p>
      <w:pPr>
        <w:pStyle w:val="FirstParagraph"/>
      </w:pPr>
      <w:r>
        <w:t xml:space="preserve">Herald therefore</w:t>
      </w:r>
      <w:r>
        <w:t xml:space="preserve"> </w:t>
      </w:r>
      <w:r>
        <w:rPr>
          <w:b/>
          <w:bCs/>
        </w:rPr>
        <w:t xml:space="preserve">does not carry its own copy</w:t>
      </w:r>
      <w:r>
        <w:t xml:space="preserve"> </w:t>
      </w:r>
      <w:r>
        <w:t xml:space="preserve">of the constitution. See</w:t>
      </w:r>
      <w:r>
        <w:t xml:space="preserve"> </w:t>
      </w:r>
      <w:hyperlink r:id="rId17">
        <w:r>
          <w:rPr>
            <w:rStyle w:val="VerbatimChar"/>
          </w:rPr>
          <w:t xml:space="preserve">docs/guides/CONSTITUTION_INHERITANCE.md</w:t>
        </w:r>
      </w:hyperlink>
      <w:r>
        <w:t xml:space="preserve"> </w:t>
      </w:r>
      <w:r>
        <w:t xml:space="preserve">for the full rationale and the discovery contract that lets Herald locate the constitution at runtime from any nested depth.</w:t>
      </w:r>
    </w:p>
    <w:bookmarkEnd w:id="18"/>
    <w:bookmarkStart w:id="21" w:name="Xb3c0546342e3c7234c2c61ace57582bb2caf8dc"/>
    <w:p>
      <w:pPr>
        <w:pStyle w:val="Heading2"/>
      </w:pPr>
      <w:r>
        <w:t xml:space="preserve">Governance — Helix Constitution inheritance</w:t>
      </w:r>
    </w:p>
    <w:p>
      <w:pPr>
        <w:pStyle w:val="FirstParagraph"/>
      </w:pPr>
      <w:r>
        <w:t xml:space="preserve">Herald inherits unconditionally from the</w:t>
      </w:r>
      <w:r>
        <w:t xml:space="preserve"> </w:t>
      </w:r>
      <w:hyperlink r:id="rId19">
        <w:r>
          <w:rPr>
            <w:rStyle w:val="Hyperlink"/>
          </w:rPr>
          <w:t xml:space="preserve">Helix Universal Constitution</w:t>
        </w:r>
      </w:hyperlink>
      <w:r>
        <w:t xml:space="preserve">. Inheritance is enforced by a paired gate + mutation meta-test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(see below). Herald-specific extensions live in</w:t>
      </w:r>
      <w:r>
        <w:t xml:space="preserve"> </w:t>
      </w:r>
      <w:hyperlink r:id="rId20">
        <w:r>
          <w:rPr>
            <w:rStyle w:val="VerbatimChar"/>
          </w:rPr>
          <w:t xml:space="preserve">docs/guides/HERALD_CONSTITUTION.md</w:t>
        </w:r>
      </w:hyperlink>
      <w:r>
        <w:t xml:space="preserve">; there are currently no overrides of any universal clause.</w:t>
      </w:r>
    </w:p>
    <w:p>
      <w:pPr>
        <w:pStyle w:val="BodyText"/>
      </w:pPr>
      <w:r>
        <w:t xml:space="preserve">Key invariants Herald inherits from the constitution: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bluffing</w:t>
      </w:r>
      <w:r>
        <w:t xml:space="preserve"> </w:t>
      </w:r>
      <w:r>
        <w:t xml:space="preserve">— every PASS carries positive evidence (§11.4).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Mutation-paired gates</w:t>
      </w:r>
      <w:r>
        <w:t xml:space="preserve"> </w:t>
      </w:r>
      <w:r>
        <w:t xml:space="preserve">— every new gate has a paired mutation proving it catches regressions (§1.1).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guessing language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appears</w:t>
      </w:r>
      <w:r>
        <w:t xml:space="preserve"> </w:t>
      </w:r>
      <w:r>
        <w:t xml:space="preserve">are forbidden when reporting causes (§11.4.6).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Credentials never tracked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git-ignored, runtime-load only (§11.4.10).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Multi-upstream push</w:t>
      </w:r>
      <w:r>
        <w:t xml:space="preserve"> </w:t>
      </w:r>
      <w:r>
        <w:t xml:space="preserve">— every commit fans out to GitHub + GitLab + GitFlic + GitVerse (§2.1).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Hardlinked backup before destructive ops</w:t>
      </w:r>
      <w:r>
        <w:t xml:space="preserve"> </w:t>
      </w:r>
      <w:r>
        <w:t xml:space="preserve">(§9).</w:t>
      </w:r>
    </w:p>
    <w:p>
      <w:pPr>
        <w:pStyle w:val="FirstParagraph"/>
      </w:pPr>
      <w:r>
        <w:t xml:space="preserve">The constitution lives at</w:t>
      </w:r>
      <w:r>
        <w:t xml:space="preserve"> </w:t>
      </w:r>
      <w:hyperlink r:id="rId19">
        <w:r>
          <w:rPr>
            <w:rStyle w:val="Hyperlink"/>
          </w:rPr>
          <w:t xml:space="preserve">https://github.com/HelixDevelopment/HelixConstitution</w:t>
        </w:r>
      </w:hyperlink>
      <w:r>
        <w:t xml:space="preserve"> </w:t>
      </w:r>
      <w:r>
        <w:t xml:space="preserve">and is mirrored to GitLab, GitFlic, and GitVerse.</w:t>
      </w:r>
    </w:p>
    <w:bookmarkEnd w:id="21"/>
    <w:bookmarkStart w:id="22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Herald/</w:t>
      </w:r>
      <w:r>
        <w:br/>
      </w:r>
      <w:r>
        <w:rPr>
          <w:rStyle w:val="VerbatimChar"/>
        </w:rPr>
        <w:t xml:space="preserve">├── README.md                                  # this file</w:t>
      </w:r>
      <w:r>
        <w:br/>
      </w:r>
      <w:r>
        <w:rPr>
          <w:rStyle w:val="VerbatimChar"/>
        </w:rPr>
        <w:t xml:space="preserve">├── CLAUDE.md                                  # guidance for Claude Code agents</w:t>
      </w:r>
      <w:r>
        <w:br/>
      </w:r>
      <w:r>
        <w:rPr>
          <w:rStyle w:val="VerbatimChar"/>
        </w:rPr>
        <w:t xml:space="preserve">├── AGENTS.md                                  # guidance for generic CLI agents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guides/</w:t>
      </w:r>
      <w:r>
        <w:br/>
      </w:r>
      <w:r>
        <w:rPr>
          <w:rStyle w:val="VerbatimChar"/>
        </w:rPr>
        <w:t xml:space="preserve">│   │   ├── HERALD_CONSTITUTION.md             # Herald's project constitution (extends Helix)</w:t>
      </w:r>
      <w:r>
        <w:br/>
      </w:r>
      <w:r>
        <w:rPr>
          <w:rStyle w:val="VerbatimChar"/>
        </w:rPr>
        <w:t xml:space="preserve">│   │   └── CONSTITUTION_INHERITANCE.md        # operator/agent guide for the inheritance contract</w:t>
      </w:r>
      <w:r>
        <w:br/>
      </w:r>
      <w:r>
        <w:rPr>
          <w:rStyle w:val="VerbatimChar"/>
        </w:rPr>
        <w:t xml:space="preserve">│   └── specs/</w:t>
      </w:r>
      <w:r>
        <w:br/>
      </w:r>
      <w:r>
        <w:rPr>
          <w:rStyle w:val="VerbatimChar"/>
        </w:rPr>
        <w:t xml:space="preserve">│       └── mvp/</w:t>
      </w:r>
      <w:r>
        <w:br/>
      </w:r>
      <w:r>
        <w:rPr>
          <w:rStyle w:val="VerbatimChar"/>
        </w:rPr>
        <w:t xml:space="preserve">│           ├── specification.V3.md           # active spec (operator-product)</w:t>
      </w:r>
      <w:r>
        <w:br/>
      </w:r>
      <w:r>
        <w:rPr>
          <w:rStyle w:val="VerbatimChar"/>
        </w:rPr>
        <w:t xml:space="preserve">│           └── archive/</w:t>
      </w:r>
      <w:r>
        <w:br/>
      </w:r>
      <w:r>
        <w:rPr>
          <w:rStyle w:val="VerbatimChar"/>
        </w:rPr>
        <w:t xml:space="preserve">│               ├── specification.V1.md       # historical, superseded</w:t>
      </w:r>
      <w:r>
        <w:br/>
      </w:r>
      <w:r>
        <w:rPr>
          <w:rStyle w:val="VerbatimChar"/>
        </w:rPr>
        <w:t xml:space="preserve">│               └── specification.V2.md       # historical, superseded</w:t>
      </w:r>
      <w:r>
        <w:br/>
      </w:r>
      <w:r>
        <w:rPr>
          <w:rStyle w:val="VerbatimChar"/>
        </w:rPr>
        <w:t xml:space="preserve">├── upstreams/                                 # Herald's mirror declarations</w:t>
      </w:r>
      <w:r>
        <w:br/>
      </w:r>
      <w:r>
        <w:rPr>
          <w:rStyle w:val="VerbatimChar"/>
        </w:rPr>
        <w:t xml:space="preserve">│   ├── GitHub.sh</w:t>
      </w:r>
      <w:r>
        <w:br/>
      </w:r>
      <w:r>
        <w:rPr>
          <w:rStyle w:val="VerbatimChar"/>
        </w:rPr>
        <w:t xml:space="preserve">│   ├── GitLab.sh</w:t>
      </w:r>
      <w:r>
        <w:br/>
      </w:r>
      <w:r>
        <w:rPr>
          <w:rStyle w:val="VerbatimChar"/>
        </w:rPr>
        <w:t xml:space="preserve">│   ├── GitFlic.sh</w:t>
      </w:r>
      <w:r>
        <w:br/>
      </w:r>
      <w:r>
        <w:rPr>
          <w:rStyle w:val="VerbatimChar"/>
        </w:rPr>
        <w:t xml:space="preserve">│   └── GitVerse.sh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test_constitution_inheritance.sh       # inheritance gate</w:t>
      </w:r>
      <w:r>
        <w:br/>
      </w:r>
      <w:r>
        <w:rPr>
          <w:rStyle w:val="VerbatimChar"/>
        </w:rPr>
        <w:t xml:space="preserve">    └── test_constitution_inheritance_meta.sh  # paired mutation meta-test (§1.1)</w:t>
      </w:r>
    </w:p>
    <w:bookmarkEnd w:id="22"/>
    <w:bookmarkStart w:id="29" w:name="quickstart-for-developers-and-agents"/>
    <w:p>
      <w:pPr>
        <w:pStyle w:val="Heading2"/>
      </w:pPr>
      <w:r>
        <w:t xml:space="preserve">Quickstart for developers and agents</w:t>
      </w:r>
    </w:p>
    <w:bookmarkStart w:id="24" w:name="X35378431ec8015390932b28e42d6964f4f9b45b"/>
    <w:p>
      <w:pPr>
        <w:pStyle w:val="Heading3"/>
      </w:pPr>
      <w:r>
        <w:t xml:space="preserve">1. Place a copy of the Helix Constitution alongside Herald</w:t>
      </w:r>
    </w:p>
    <w:p>
      <w:pPr>
        <w:pStyle w:val="FirstParagraph"/>
      </w:pPr>
      <w:r>
        <w:t xml:space="preserve">If you cloned Herald standalone (not as a submodule of a larger project), put a clone of the constitution</w:t>
      </w:r>
      <w:r>
        <w:t xml:space="preserve"> </w:t>
      </w:r>
      <w:r>
        <w:rPr>
          <w:b/>
          <w:bCs/>
        </w:rPr>
        <w:t xml:space="preserve">next to</w:t>
      </w:r>
      <w:r>
        <w:t xml:space="preserve"> </w:t>
      </w:r>
      <w:r>
        <w:t xml:space="preserve">Herald (not inside it — see</w:t>
      </w:r>
      <w:r>
        <w:t xml:space="preserve"> </w:t>
      </w:r>
      <w:hyperlink r:id="rId23">
        <w:r>
          <w:rPr>
            <w:rStyle w:val="Hyperlink"/>
          </w:rPr>
          <w:t xml:space="preserve">§104 of the Herald Constitution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git@github.com:HelixDevelopment/HelixConstitution.git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/constitution</w:t>
      </w:r>
    </w:p>
    <w:p>
      <w:pPr>
        <w:pStyle w:val="FirstParagraph"/>
      </w:pPr>
      <w:r>
        <w:t xml:space="preserve">This is only needed for standalone work. When Herald is consumed as a submodule of a larger project, that project already provides</w:t>
      </w:r>
      <w:r>
        <w:t xml:space="preserve"> </w:t>
      </w:r>
      <w:r>
        <w:rPr>
          <w:rStyle w:val="VerbatimChar"/>
        </w:rPr>
        <w:t xml:space="preserve">&lt;parent&gt;/constitution/</w:t>
      </w:r>
      <w:r>
        <w:t xml:space="preserve">.</w:t>
      </w:r>
    </w:p>
    <w:bookmarkEnd w:id="24"/>
    <w:bookmarkStart w:id="25" w:name="Xc40abc6fbfefede58fa4628a50b4d998da0274f"/>
    <w:p>
      <w:pPr>
        <w:pStyle w:val="Heading3"/>
      </w:pPr>
      <w:r>
        <w:t xml:space="preserve">2. Verify the inheritance contract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tests/test_constitution_inheritance.sh        </w:t>
      </w:r>
      <w:r>
        <w:rPr>
          <w:rStyle w:val="CommentTok"/>
        </w:rPr>
        <w:t xml:space="preserve"># gate (7 invariants)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tests/test_constitution_inheritance_meta.sh   </w:t>
      </w:r>
      <w:r>
        <w:rPr>
          <w:rStyle w:val="CommentTok"/>
        </w:rPr>
        <w:t xml:space="preserve"># paired §1.1 mutation proof</w:t>
      </w:r>
    </w:p>
    <w:p>
      <w:pPr>
        <w:pStyle w:val="FirstParagraph"/>
      </w:pPr>
      <w:r>
        <w:t xml:space="preserve">Both MUST exit 0. The gate prints</w:t>
      </w:r>
      <w:r>
        <w:t xml:space="preserve"> </w:t>
      </w:r>
      <w:r>
        <w:rPr>
          <w:rStyle w:val="VerbatimChar"/>
        </w:rPr>
        <w:t xml:space="preserve">PASS 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  …</w:t>
      </w:r>
      <w:r>
        <w:t xml:space="preserve"> </w:t>
      </w:r>
      <w:r>
        <w:t xml:space="preserve">per invariant and a summary line. The meta-test prints</w:t>
      </w:r>
      <w:r>
        <w:t xml:space="preserve"> </w:t>
      </w:r>
      <w:r>
        <w:rPr>
          <w:rStyle w:val="VerbatimChar"/>
        </w:rPr>
        <w:t xml:space="preserve">✓ META-TEST PASS</w:t>
      </w:r>
      <w:r>
        <w:t xml:space="preserve"> </w:t>
      </w:r>
      <w:r>
        <w:t xml:space="preserve">when the gate correctly fails on a mutated constitution.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I1</w:t>
      </w:r>
      <w:r>
        <w:t xml:space="preserve"> </w:t>
      </w:r>
      <w:r>
        <w:t xml:space="preserve">fails (constitution not found), follow the message — clone the constitution alongside Herald.</w:t>
      </w:r>
    </w:p>
    <w:bookmarkEnd w:id="25"/>
    <w:bookmarkStart w:id="28" w:name="X656158d4d89821062c6d841c838450ce114ecc9"/>
    <w:p>
      <w:pPr>
        <w:pStyle w:val="Heading3"/>
      </w:pPr>
      <w:r>
        <w:t xml:space="preserve">3. Read the inherited rules</w:t>
      </w:r>
    </w:p>
    <w:p>
      <w:pPr>
        <w:pStyle w:val="FirstParagraph"/>
      </w:pPr>
      <w:r>
        <w:t xml:space="preserve">In this order, read fully before submitting any change: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&lt;discovered-constitution&gt;/CLAUDE.md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— universal Helix rules.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&lt;discovered-constitution&gt;/AGENTS.md</w:t>
      </w:r>
      <w:r>
        <w:t xml:space="preserve"> </w:t>
      </w:r>
      <w:r>
        <w:t xml:space="preserve">— anti-bluff, no-guessing, paired mutations.</w:t>
      </w:r>
    </w:p>
    <w:p>
      <w:pPr>
        <w:pStyle w:val="Compact"/>
        <w:numPr>
          <w:ilvl w:val="0"/>
          <w:numId w:val="1008"/>
        </w:numPr>
      </w:pPr>
      <w:r>
        <w:t xml:space="preserve">This README — Herald overview.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/</w:t>
      </w:r>
      <w:r>
        <w:t xml:space="preserve"> </w:t>
      </w:r>
      <w:hyperlink r:id="rId27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 Herald-specific guidance.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VerbatimChar"/>
          </w:rPr>
          <w:t xml:space="preserve">docs/guides/HERALD_CONSTITUTION.md</w:t>
        </w:r>
      </w:hyperlink>
      <w:r>
        <w:t xml:space="preserve"> </w:t>
      </w:r>
      <w:r>
        <w:t xml:space="preserve">— Herald's articles §101–§106.</w:t>
      </w:r>
    </w:p>
    <w:p>
      <w:pPr>
        <w:pStyle w:val="Compact"/>
        <w:numPr>
          <w:ilvl w:val="0"/>
          <w:numId w:val="1008"/>
        </w:numPr>
      </w:pPr>
      <w:hyperlink r:id="rId17">
        <w:r>
          <w:rPr>
            <w:rStyle w:val="VerbatimChar"/>
          </w:rPr>
          <w:t xml:space="preserve">docs/guides/CONSTITUTION_INHERITANCE.md</w:t>
        </w:r>
      </w:hyperlink>
      <w:r>
        <w:t xml:space="preserve"> </w:t>
      </w:r>
      <w:r>
        <w:t xml:space="preserve">— the discovery contract and gate semantics.</w:t>
      </w:r>
    </w:p>
    <w:p>
      <w:pPr>
        <w:pStyle w:val="Compact"/>
        <w:numPr>
          <w:ilvl w:val="0"/>
          <w:numId w:val="1008"/>
        </w:numPr>
      </w:pPr>
      <w:hyperlink r:id="rId10">
        <w:r>
          <w:rPr>
            <w:rStyle w:val="VerbatimChar"/>
          </w:rPr>
          <w:t xml:space="preserve">docs/specs/mvp/specification.V3.md</w:t>
        </w:r>
      </w:hyperlink>
      <w:r>
        <w:t xml:space="preserve"> </w:t>
      </w:r>
      <w:r>
        <w:t xml:space="preserve">— current spec (active). Historical V1/V2 in</w:t>
      </w:r>
      <w:r>
        <w:t xml:space="preserve"> </w:t>
      </w:r>
      <w:hyperlink r:id="rId11">
        <w:r>
          <w:rPr>
            <w:rStyle w:val="VerbatimChar"/>
          </w:rPr>
          <w:t xml:space="preserve">docs/specs/mvp/archive/</w:t>
        </w:r>
      </w:hyperlink>
      <w:r>
        <w:t xml:space="preserve">.</w:t>
      </w:r>
    </w:p>
    <w:bookmarkEnd w:id="28"/>
    <w:bookmarkEnd w:id="29"/>
    <w:bookmarkStart w:id="52" w:name="operator-setup-guides"/>
    <w:p>
      <w:pPr>
        <w:pStyle w:val="Heading2"/>
      </w:pPr>
      <w:r>
        <w:t xml:space="preserve">Operator setup guides</w:t>
      </w:r>
    </w:p>
    <w:p>
      <w:pPr>
        <w:pStyle w:val="FirstParagraph"/>
      </w:pPr>
      <w:r>
        <w:t xml:space="preserve">Every supported messenger and every supported LLM / agent dispatcher has its own step-by-step setup guide under</w:t>
      </w:r>
      <w:r>
        <w:t xml:space="preserve"> </w:t>
      </w:r>
      <w:hyperlink r:id="rId12">
        <w:r>
          <w:rPr>
            <w:rStyle w:val="VerbatimChar"/>
          </w:rPr>
          <w:t xml:space="preserve">docs/guides/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ones are detailed end-to-end (obtain credentials → set env vars → verify integration tests → troubleshooting).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ones are placeholder stubs that reserve the env-var names so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stays stable as features land.</w:t>
      </w:r>
    </w:p>
    <w:bookmarkStart w:id="39" w:name="messengers"/>
    <w:p>
      <w:pPr>
        <w:pStyle w:val="Heading3"/>
      </w:pPr>
      <w:r>
        <w:t xml:space="preserve">Messengers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(HRD-011 code complete; awaiting live evidence)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docs/guides/messengers/TELEGRAM.md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Planned (V2)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docs/guides/messengers/SLACK.md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Email (SMTP + Resend)</w:t>
            </w:r>
          </w:p>
        </w:tc>
        <w:tc>
          <w:tcPr/>
          <w:p>
            <w:pPr>
              <w:pStyle w:val="Compact"/>
            </w:pPr>
            <w:r>
              <w:t xml:space="preserve">Planned (V2)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docs/guides/messengers/EMAIL.md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Planned (V2)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docs/guides/messengers/MAX.md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Planned (V3)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docs/guides/messengers/TEAMS.md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Lark / Feishu</w:t>
            </w:r>
          </w:p>
        </w:tc>
        <w:tc>
          <w:tcPr/>
          <w:p>
            <w:pPr>
              <w:pStyle w:val="Compact"/>
            </w:pPr>
            <w:r>
              <w:t xml:space="preserve">Planned (later)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docs/guides/messengers/LARK.md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Planned (later)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docs/guides/messengers/DISCORD.md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Planned (later)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docs/guides/messengers/WHATSAPP.md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Planned (later)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docs/guides/messengers/VIBER.md</w:t>
              </w:r>
            </w:hyperlink>
          </w:p>
        </w:tc>
      </w:tr>
    </w:tbl>
    <w:bookmarkEnd w:id="39"/>
    <w:bookmarkStart w:id="46" w:name="llm--agent-dispatchers"/>
    <w:p>
      <w:pPr>
        <w:pStyle w:val="Heading3"/>
      </w:pPr>
      <w:r>
        <w:t xml:space="preserve">LLM / agent dispatchers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(HRD-012 Fixed — live E18 evidence captured)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docs/guides/dispatchers/CLAUDE_CODE.md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docs/guides/dispatchers/OPENCODE.md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docs/guides/dispatchers/AIDER.md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docs/guides/dispatchers/GEMINI.md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docs/guides/dispatchers/CURSOR.md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Anthropic Managed Agent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docs/guides/dispatchers/ANTHROPIC.md</w:t>
              </w:r>
            </w:hyperlink>
          </w:p>
        </w:tc>
      </w:tr>
    </w:tbl>
    <w:bookmarkEnd w:id="46"/>
    <w:bookmarkStart w:id="48" w:name="credentials-master-guide"/>
    <w:p>
      <w:pPr>
        <w:pStyle w:val="Heading3"/>
      </w:pPr>
      <w:r>
        <w:t xml:space="preserve">Credentials master guide</w:t>
      </w:r>
    </w:p>
    <w:p>
      <w:pPr>
        <w:pStyle w:val="FirstParagraph"/>
      </w:pPr>
      <w:hyperlink r:id="rId47">
        <w:r>
          <w:rPr>
            <w:rStyle w:val="VerbatimChar"/>
          </w:rPr>
          <w:t xml:space="preserve">docs/guides/OPERATOR_CREDENTIALS.md</w:t>
        </w:r>
      </w:hyperlink>
      <w:r>
        <w:t xml:space="preserve"> </w:t>
      </w:r>
      <w:r>
        <w:t xml:space="preserve">is the umbrella reference covering:</w:t>
      </w:r>
    </w:p>
    <w:p>
      <w:pPr>
        <w:pStyle w:val="Compact"/>
        <w:numPr>
          <w:ilvl w:val="0"/>
          <w:numId w:val="1009"/>
        </w:numPr>
      </w:pPr>
      <w:r>
        <w:t xml:space="preserve">The 12-factor resolution order (CLI flag &gt; shell exports &gt;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&gt; defaults)</w:t>
      </w:r>
    </w:p>
    <w:p>
      <w:pPr>
        <w:pStyle w:val="Compact"/>
        <w:numPr>
          <w:ilvl w:val="0"/>
          <w:numId w:val="1009"/>
        </w:numPr>
      </w:pPr>
      <w:r>
        <w:t xml:space="preserve">How to set credentials via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(shell-export path)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(project-local path) — both supported per spec V3 §3.3</w:t>
      </w:r>
    </w:p>
    <w:p>
      <w:pPr>
        <w:pStyle w:val="Compact"/>
        <w:numPr>
          <w:ilvl w:val="0"/>
          <w:numId w:val="1009"/>
        </w:numPr>
      </w:pPr>
      <w:r>
        <w:t xml:space="preserve">Pre-commit secrets audit checklist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not tracked; no obvious-format secrets;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only has placeholders)</w:t>
      </w:r>
    </w:p>
    <w:p>
      <w:pPr>
        <w:pStyle w:val="Compact"/>
        <w:numPr>
          <w:ilvl w:val="0"/>
          <w:numId w:val="1009"/>
        </w:numPr>
      </w:pPr>
      <w:r>
        <w:t xml:space="preserve">Quickstart-compose vs native pherald operating modes</w:t>
      </w:r>
    </w:p>
    <w:p>
      <w:pPr>
        <w:pStyle w:val="Compact"/>
        <w:numPr>
          <w:ilvl w:val="0"/>
          <w:numId w:val="1009"/>
        </w:numPr>
      </w:pPr>
      <w:r>
        <w:t xml:space="preserve">Troubleshooting (SQLSTATE 28P01, "DSN not set", SKIP-with-reason logic per §11.4.3, …)</w:t>
      </w:r>
    </w:p>
    <w:p>
      <w:pPr>
        <w:pStyle w:val="FirstParagraph"/>
      </w:pPr>
      <w:r>
        <w:t xml:space="preserve">Per Universal Constitution §11.4.10: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files MUST NEVER be committed</w:t>
      </w:r>
      <w:r>
        <w:t xml:space="preserve">. The repo's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covers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committed</w:t>
      </w:r>
      <w:r>
        <w:t xml:space="preserve"> </w:t>
      </w:r>
      <w:r>
        <w:rPr>
          <w:rStyle w:val="VerbatimChar"/>
        </w:rPr>
        <w:t xml:space="preserve">quickstart/.env.example</w:t>
      </w:r>
      <w:r>
        <w:t xml:space="preserve"> </w:t>
      </w:r>
      <w:r>
        <w:t xml:space="preserve">is the only credentials-file that lives in git, and it contains only placeholder values.</w:t>
      </w:r>
    </w:p>
    <w:bookmarkEnd w:id="48"/>
    <w:bookmarkStart w:id="51" w:name="X2d57ec4c52902418777a57d1b6587fe0de5df6e"/>
    <w:p>
      <w:pPr>
        <w:pStyle w:val="Heading3"/>
      </w:pPr>
      <w:r>
        <w:t xml:space="preserve">Active blockers — operator action required</w:t>
      </w:r>
    </w:p>
    <w:p>
      <w:pPr>
        <w:pStyle w:val="FirstParagraph"/>
      </w:pPr>
      <w:hyperlink r:id="rId49">
        <w:r>
          <w:rPr>
            <w:rStyle w:val="VerbatimChar"/>
          </w:rPr>
          <w:t xml:space="preserve">docs/requirements/blockers/missing_env_variables.md</w:t>
        </w:r>
      </w:hyperlink>
      <w:r>
        <w:t xml:space="preserve"> </w:t>
      </w:r>
      <w:r>
        <w:t xml:space="preserve">— the step-by-step MTProto credential setup the operator must complete to unblock Wave 8 Track B (the full-automation rewrite of</w:t>
      </w:r>
      <w:r>
        <w:t xml:space="preserve"> </w:t>
      </w:r>
      <w:r>
        <w:rPr>
          <w:rStyle w:val="VerbatimChar"/>
        </w:rPr>
        <w:t xml:space="preserve">TestSubscribe_LiveBotAPI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tests/test_wave6_live_loop.sh</w:t>
      </w:r>
      <w:r>
        <w:t xml:space="preserve">, and Wave 6.5 lifecycle scenarios per HelixConstitution §11.4.98 + Herald §108.m). Available in Markdown / HTML / PDF / DOCX.</w:t>
      </w:r>
      <w:r>
        <w:t xml:space="preserve"> </w:t>
      </w:r>
      <w:r>
        <w:rPr>
          <w:b/>
          <w:bCs/>
        </w:rPr>
        <w:t xml:space="preserve">Required for §11.4.98 compliance — release-gate item.</w:t>
      </w:r>
    </w:p>
    <w:p>
      <w:pPr>
        <w:pStyle w:val="BodyText"/>
      </w:pPr>
      <w:hyperlink r:id="rId50">
        <w:r>
          <w:rPr>
            <w:rStyle w:val="VerbatimChar"/>
          </w:rPr>
          <w:t xml:space="preserve">docs/audits/full-automation-114-98-audit-2026-05-28.md</w:t>
        </w:r>
      </w:hyperlink>
      <w:r>
        <w:t xml:space="preserve"> </w:t>
      </w:r>
      <w:r>
        <w:t xml:space="preserve">— the canonical classification of every Herald test against §11.4.98 (794 tests audited: 758 COMPLIANT-hermetic, 32 COMPLIANT-with-creds-bootstrap, 4 NON-COMPLIANT-manual-dep, 1 STRUCTURALLY-BROKEN). NON-COMPLIANT items have until 2026-06-27 (T+30 days) to be rewritten before graduating to §11.4.90 Obsolete.</w:t>
      </w:r>
    </w:p>
    <w:bookmarkEnd w:id="51"/>
    <w:bookmarkEnd w:id="52"/>
    <w:bookmarkStart w:id="53" w:name="mirror--push-convention"/>
    <w:p>
      <w:pPr>
        <w:pStyle w:val="Heading2"/>
      </w:pPr>
      <w:r>
        <w:t xml:space="preserve">Mirror &amp; push convention</w:t>
      </w:r>
    </w:p>
    <w:p>
      <w:pPr>
        <w:pStyle w:val="FirstParagraph"/>
      </w:pPr>
      <w:r>
        <w:t xml:space="preserve">Herald is mirrored to four hosts. The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remote is</w:t>
      </w:r>
      <w:r>
        <w:t xml:space="preserve"> </w:t>
      </w:r>
      <w:r>
        <w:rPr>
          <w:b/>
          <w:bCs/>
        </w:rPr>
        <w:t xml:space="preserve">fan-out</w:t>
      </w:r>
      <w:r>
        <w:t xml:space="preserve">: one fetch URL + four push URLs. A single</w:t>
      </w:r>
      <w:r>
        <w:t xml:space="preserve"> </w:t>
      </w:r>
      <w:r>
        <w:rPr>
          <w:rStyle w:val="VerbatimChar"/>
        </w:rPr>
        <w:t xml:space="preserve">git push origin main</w:t>
      </w:r>
      <w:r>
        <w:t xml:space="preserve"> </w:t>
      </w:r>
      <w:r>
        <w:t xml:space="preserve">propagates to every mirror in one operation.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Remote name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git@github.com:vasic-digital/Herald.git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git@gitlab.com:vasic-digital/herald.git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gitflic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git@gitflic.ru:vasic-digital/herald.git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git@gitverse.ru:vasic-digital/Herald.git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(fetch from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; push fans out to all four)</w:t>
            </w:r>
          </w:p>
        </w:tc>
      </w:tr>
    </w:tbl>
    <w:p>
      <w:pPr>
        <w:pStyle w:val="BodyText"/>
      </w:pPr>
      <w:r>
        <w:t xml:space="preserve">Each entry under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is a shell script that exports a single</w:t>
      </w:r>
      <w:r>
        <w:t xml:space="preserve"> </w:t>
      </w:r>
      <w:r>
        <w:rPr>
          <w:rStyle w:val="VerbatimChar"/>
        </w:rPr>
        <w:t xml:space="preserve">UPSTREAMABLE_REPOSITORY=…</w:t>
      </w:r>
      <w:r>
        <w:t xml:space="preserve"> </w:t>
      </w:r>
      <w:r>
        <w:t xml:space="preserve">URL and is meant to be</w:t>
      </w:r>
      <w:r>
        <w:t xml:space="preserve"> </w:t>
      </w:r>
      <w:r>
        <w:rPr>
          <w:b/>
          <w:bCs/>
        </w:rPr>
        <w:t xml:space="preserve">sourced</w:t>
      </w:r>
      <w:r>
        <w:t xml:space="preserve">, not executed for its output. Capitalization matches each host's brand (GitFlic, GitVerse); do not normalize to lowercase or collapse into one file — external mirror-push tooling keys on the per-file split.</w:t>
      </w:r>
    </w:p>
    <w:p>
      <w:pPr>
        <w:pStyle w:val="BodyText"/>
      </w:pPr>
      <w:r>
        <w:t xml:space="preserve">If you ever need to rebuild the fan-out configuration, the constitution submodule ships</w:t>
      </w:r>
      <w:r>
        <w:t xml:space="preserve"> </w:t>
      </w:r>
      <w:r>
        <w:rPr>
          <w:rStyle w:val="VerbatimChar"/>
        </w:rPr>
        <w:t xml:space="preserve">install_upstreams.sh</w:t>
      </w:r>
      <w:r>
        <w:t xml:space="preserve"> </w:t>
      </w:r>
      <w:r>
        <w:t xml:space="preserve">that consumes</w:t>
      </w:r>
      <w:r>
        <w:t xml:space="preserve"> </w:t>
      </w:r>
      <w:r>
        <w:rPr>
          <w:rStyle w:val="VerbatimChar"/>
        </w:rPr>
        <w:t xml:space="preserve">Upstreams/*.sh</w:t>
      </w:r>
      <w:r>
        <w:t xml:space="preserve"> </w:t>
      </w:r>
      <w:r>
        <w:t xml:space="preserve">declarations and configures git remotes accordingly; the same pattern can be adapted for Herald.</w:t>
      </w:r>
    </w:p>
    <w:bookmarkEnd w:id="53"/>
    <w:bookmarkStart w:id="55" w:name="license"/>
    <w:p>
      <w:pPr>
        <w:pStyle w:val="Heading2"/>
      </w:pPr>
      <w:r>
        <w:t xml:space="preserve">License</w:t>
      </w:r>
    </w:p>
    <w:p>
      <w:pPr>
        <w:pStyle w:val="FirstParagraph"/>
      </w:pPr>
      <w:hyperlink r:id="rId54">
        <w:r>
          <w:rPr>
            <w:rStyle w:val="VerbatimChar"/>
          </w:rPr>
          <w:t xml:space="preserve">LICENSE</w:t>
        </w:r>
      </w:hyperlink>
      <w:r>
        <w:t xml:space="preserve"> </w:t>
      </w:r>
      <w:r>
        <w:t xml:space="preserve">— see file for terms.</w:t>
      </w:r>
    </w:p>
    <w:bookmarkEnd w:id="55"/>
    <w:bookmarkStart w:id="56" w:name="contact--contribution"/>
    <w:p>
      <w:pPr>
        <w:pStyle w:val="Heading2"/>
      </w:pPr>
      <w:r>
        <w:t xml:space="preserve">Contact / contribution</w:t>
      </w:r>
    </w:p>
    <w:p>
      <w:pPr>
        <w:pStyle w:val="FirstParagraph"/>
      </w:pPr>
      <w:r>
        <w:t xml:space="preserve">Substantive contributions land via PRs on GitHub; mirrors are read-only for external consumers. Inheritance rules and the gate apply to every PR.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AGENTS.md" TargetMode="External" /><Relationship Type="http://schemas.openxmlformats.org/officeDocument/2006/relationships/hyperlink" Id="rId26" Target="CLAUDE.md" TargetMode="External" /><Relationship Type="http://schemas.openxmlformats.org/officeDocument/2006/relationships/hyperlink" Id="rId54" Target="LICENSE" TargetMode="External" /><Relationship Type="http://schemas.openxmlformats.org/officeDocument/2006/relationships/hyperlink" Id="rId50" Target="docs/audits/full-automation-114-98-audit-2026-05-28.md" TargetMode="External" /><Relationship Type="http://schemas.openxmlformats.org/officeDocument/2006/relationships/hyperlink" Id="rId12" Target="docs/guides/" TargetMode="External" /><Relationship Type="http://schemas.openxmlformats.org/officeDocument/2006/relationships/hyperlink" Id="rId17" Target="docs/guides/CONSTITUTION_INHERITANCE.md" TargetMode="External" /><Relationship Type="http://schemas.openxmlformats.org/officeDocument/2006/relationships/hyperlink" Id="rId20" Target="docs/guides/HERALD_CONSTITUTION.md" TargetMode="External" /><Relationship Type="http://schemas.openxmlformats.org/officeDocument/2006/relationships/hyperlink" Id="rId23" Target="docs/guides/HERALD_CONSTITUTION.md#&#167;104-no-embedded-constitution-extends-universal-&#167;3" TargetMode="External" /><Relationship Type="http://schemas.openxmlformats.org/officeDocument/2006/relationships/hyperlink" Id="rId47" Target="docs/guides/OPERATOR_CREDENTIALS.md" TargetMode="External" /><Relationship Type="http://schemas.openxmlformats.org/officeDocument/2006/relationships/hyperlink" Id="rId42" Target="docs/guides/dispatchers/AIDER.md" TargetMode="External" /><Relationship Type="http://schemas.openxmlformats.org/officeDocument/2006/relationships/hyperlink" Id="rId45" Target="docs/guides/dispatchers/ANTHROPIC.md" TargetMode="External" /><Relationship Type="http://schemas.openxmlformats.org/officeDocument/2006/relationships/hyperlink" Id="rId40" Target="docs/guides/dispatchers/CLAUDE_CODE.md" TargetMode="External" /><Relationship Type="http://schemas.openxmlformats.org/officeDocument/2006/relationships/hyperlink" Id="rId44" Target="docs/guides/dispatchers/CURSOR.md" TargetMode="External" /><Relationship Type="http://schemas.openxmlformats.org/officeDocument/2006/relationships/hyperlink" Id="rId43" Target="docs/guides/dispatchers/GEMINI.md" TargetMode="External" /><Relationship Type="http://schemas.openxmlformats.org/officeDocument/2006/relationships/hyperlink" Id="rId41" Target="docs/guides/dispatchers/OPENCODE.md" TargetMode="External" /><Relationship Type="http://schemas.openxmlformats.org/officeDocument/2006/relationships/hyperlink" Id="rId36" Target="docs/guides/messengers/DISCORD.md" TargetMode="External" /><Relationship Type="http://schemas.openxmlformats.org/officeDocument/2006/relationships/hyperlink" Id="rId32" Target="docs/guides/messengers/EMAIL.md" TargetMode="External" /><Relationship Type="http://schemas.openxmlformats.org/officeDocument/2006/relationships/hyperlink" Id="rId35" Target="docs/guides/messengers/LARK.md" TargetMode="External" /><Relationship Type="http://schemas.openxmlformats.org/officeDocument/2006/relationships/hyperlink" Id="rId33" Target="docs/guides/messengers/MAX.md" TargetMode="External" /><Relationship Type="http://schemas.openxmlformats.org/officeDocument/2006/relationships/hyperlink" Id="rId31" Target="docs/guides/messengers/SLACK.md" TargetMode="External" /><Relationship Type="http://schemas.openxmlformats.org/officeDocument/2006/relationships/hyperlink" Id="rId34" Target="docs/guides/messengers/TEAMS.md" TargetMode="External" /><Relationship Type="http://schemas.openxmlformats.org/officeDocument/2006/relationships/hyperlink" Id="rId30" Target="docs/guides/messengers/TELEGRAM.md" TargetMode="External" /><Relationship Type="http://schemas.openxmlformats.org/officeDocument/2006/relationships/hyperlink" Id="rId38" Target="docs/guides/messengers/VIBER.md" TargetMode="External" /><Relationship Type="http://schemas.openxmlformats.org/officeDocument/2006/relationships/hyperlink" Id="rId37" Target="docs/guides/messengers/WHATSAPP.md" TargetMode="External" /><Relationship Type="http://schemas.openxmlformats.org/officeDocument/2006/relationships/hyperlink" Id="rId49" Target="docs/requirements/blockers/missing_env_variables.md" TargetMode="External" /><Relationship Type="http://schemas.openxmlformats.org/officeDocument/2006/relationships/hyperlink" Id="rId11" Target="docs/specs/mvp/archive/" TargetMode="External" /><Relationship Type="http://schemas.openxmlformats.org/officeDocument/2006/relationships/hyperlink" Id="rId10" Target="docs/specs/mvp/specification.V3.md" TargetMode="External" /><Relationship Type="http://schemas.openxmlformats.org/officeDocument/2006/relationships/hyperlink" Id="rId19" Target="https://github.com/HelixDevelopment/HelixConstitution" TargetMode="External" /><Relationship Type="http://schemas.openxmlformats.org/officeDocument/2006/relationships/hyperlink" Id="rId14" Target="tests/" TargetMode="External" /><Relationship Type="http://schemas.openxmlformats.org/officeDocument/2006/relationships/hyperlink" Id="rId13" Target="upstrea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GENTS.md" TargetMode="External" /><Relationship Type="http://schemas.openxmlformats.org/officeDocument/2006/relationships/hyperlink" Id="rId26" Target="CLAUDE.md" TargetMode="External" /><Relationship Type="http://schemas.openxmlformats.org/officeDocument/2006/relationships/hyperlink" Id="rId54" Target="LICENSE" TargetMode="External" /><Relationship Type="http://schemas.openxmlformats.org/officeDocument/2006/relationships/hyperlink" Id="rId50" Target="docs/audits/full-automation-114-98-audit-2026-05-28.md" TargetMode="External" /><Relationship Type="http://schemas.openxmlformats.org/officeDocument/2006/relationships/hyperlink" Id="rId12" Target="docs/guides/" TargetMode="External" /><Relationship Type="http://schemas.openxmlformats.org/officeDocument/2006/relationships/hyperlink" Id="rId17" Target="docs/guides/CONSTITUTION_INHERITANCE.md" TargetMode="External" /><Relationship Type="http://schemas.openxmlformats.org/officeDocument/2006/relationships/hyperlink" Id="rId20" Target="docs/guides/HERALD_CONSTITUTION.md" TargetMode="External" /><Relationship Type="http://schemas.openxmlformats.org/officeDocument/2006/relationships/hyperlink" Id="rId23" Target="docs/guides/HERALD_CONSTITUTION.md#&#167;104-no-embedded-constitution-extends-universal-&#167;3" TargetMode="External" /><Relationship Type="http://schemas.openxmlformats.org/officeDocument/2006/relationships/hyperlink" Id="rId47" Target="docs/guides/OPERATOR_CREDENTIALS.md" TargetMode="External" /><Relationship Type="http://schemas.openxmlformats.org/officeDocument/2006/relationships/hyperlink" Id="rId42" Target="docs/guides/dispatchers/AIDER.md" TargetMode="External" /><Relationship Type="http://schemas.openxmlformats.org/officeDocument/2006/relationships/hyperlink" Id="rId45" Target="docs/guides/dispatchers/ANTHROPIC.md" TargetMode="External" /><Relationship Type="http://schemas.openxmlformats.org/officeDocument/2006/relationships/hyperlink" Id="rId40" Target="docs/guides/dispatchers/CLAUDE_CODE.md" TargetMode="External" /><Relationship Type="http://schemas.openxmlformats.org/officeDocument/2006/relationships/hyperlink" Id="rId44" Target="docs/guides/dispatchers/CURSOR.md" TargetMode="External" /><Relationship Type="http://schemas.openxmlformats.org/officeDocument/2006/relationships/hyperlink" Id="rId43" Target="docs/guides/dispatchers/GEMINI.md" TargetMode="External" /><Relationship Type="http://schemas.openxmlformats.org/officeDocument/2006/relationships/hyperlink" Id="rId41" Target="docs/guides/dispatchers/OPENCODE.md" TargetMode="External" /><Relationship Type="http://schemas.openxmlformats.org/officeDocument/2006/relationships/hyperlink" Id="rId36" Target="docs/guides/messengers/DISCORD.md" TargetMode="External" /><Relationship Type="http://schemas.openxmlformats.org/officeDocument/2006/relationships/hyperlink" Id="rId32" Target="docs/guides/messengers/EMAIL.md" TargetMode="External" /><Relationship Type="http://schemas.openxmlformats.org/officeDocument/2006/relationships/hyperlink" Id="rId35" Target="docs/guides/messengers/LARK.md" TargetMode="External" /><Relationship Type="http://schemas.openxmlformats.org/officeDocument/2006/relationships/hyperlink" Id="rId33" Target="docs/guides/messengers/MAX.md" TargetMode="External" /><Relationship Type="http://schemas.openxmlformats.org/officeDocument/2006/relationships/hyperlink" Id="rId31" Target="docs/guides/messengers/SLACK.md" TargetMode="External" /><Relationship Type="http://schemas.openxmlformats.org/officeDocument/2006/relationships/hyperlink" Id="rId34" Target="docs/guides/messengers/TEAMS.md" TargetMode="External" /><Relationship Type="http://schemas.openxmlformats.org/officeDocument/2006/relationships/hyperlink" Id="rId30" Target="docs/guides/messengers/TELEGRAM.md" TargetMode="External" /><Relationship Type="http://schemas.openxmlformats.org/officeDocument/2006/relationships/hyperlink" Id="rId38" Target="docs/guides/messengers/VIBER.md" TargetMode="External" /><Relationship Type="http://schemas.openxmlformats.org/officeDocument/2006/relationships/hyperlink" Id="rId37" Target="docs/guides/messengers/WHATSAPP.md" TargetMode="External" /><Relationship Type="http://schemas.openxmlformats.org/officeDocument/2006/relationships/hyperlink" Id="rId49" Target="docs/requirements/blockers/missing_env_variables.md" TargetMode="External" /><Relationship Type="http://schemas.openxmlformats.org/officeDocument/2006/relationships/hyperlink" Id="rId11" Target="docs/specs/mvp/archive/" TargetMode="External" /><Relationship Type="http://schemas.openxmlformats.org/officeDocument/2006/relationships/hyperlink" Id="rId10" Target="docs/specs/mvp/specification.V3.md" TargetMode="External" /><Relationship Type="http://schemas.openxmlformats.org/officeDocument/2006/relationships/hyperlink" Id="rId19" Target="https://github.com/HelixDevelopment/HelixConstitution" TargetMode="External" /><Relationship Type="http://schemas.openxmlformats.org/officeDocument/2006/relationships/hyperlink" Id="rId14" Target="tests/" TargetMode="External" /><Relationship Type="http://schemas.openxmlformats.org/officeDocument/2006/relationships/hyperlink" Id="rId13" Target="upstrea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2026-05-28T10:27:22Z</dcterms:created>
  <dcterms:modified xsi:type="dcterms:W3CDTF">2026-05-28T10:27:22Z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