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r13 captures Wave 4a (HTTP/3 + Brotli + Alt-Svc + TLS 1.3 transport substrate)</w:t>
            </w:r>
            <w:r>
              <w:t xml:space="preserve"> </w:t>
            </w:r>
            <w:r>
              <w:t xml:space="preserve">— every serving flavor now binds dual TCP/HTTP-2 + UDP/HTTP-3 listeners with auto-generated dev cert, Brotli q6 compression, Alt-Svc header advertising H3 to TCP clients. New commons_tls (15th workspace module). 7 new e2e invariants E49-E55; new test_wave4_mutation_meta.sh (4/4 PASS — M1 strip H3 / M2 strip Brotli / M3 downgrade TLS / post-flight). Tag v0.2.0 issued. Also includes a critical security fix (d5bd360) restoring commons_auth/middleware.go from accidental JWT-bypass mutation residue that the prior FIX-bg subagent's commit 72e81ab captured mid-flight from a concurrent mutation gate. Prior r12 closed HRD-016 (Wave 3b pherald Runner live). r11 closed HRD-011 (Telegram live, message_id=5). r10 renumbered HRD-093 → HRD-099. r9: Wave 3a close-out (HRD-028 + HRD-098).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2026-05-22T10:09:44Z</dcterms:created>
  <dcterms:modified xsi:type="dcterms:W3CDTF">2026-05-22T10:09:44Z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