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74" w:name="herald"/>
    <w:p>
      <w:pPr>
        <w:pStyle w:val="Heading1"/>
      </w:pPr>
      <w:r>
        <w:t xml:space="preserve">Herald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r5: added an "Operator setup guides" note + doc-link that subscribers speak plain natural language (no command syntax) and the System determines intent via the three-tier discipline (command-recognition fast-path → Claude Code intent inference →</w:t>
            </w:r>
            <w:r>
              <w:t xml:space="preserve"> </w:t>
            </w:r>
            <w:r>
              <w:rPr>
                <w:rStyle w:val="VerbatimChar"/>
              </w:rPr>
              <w:t xml:space="preserve">clarify</w:t>
            </w:r>
            <w:r>
              <w:t xml:space="preserve"> </w:t>
            </w:r>
            <w:r>
              <w:t xml:space="preserve">reply-tag-and-ask fallback) — authoritative contract</w:t>
            </w:r>
            <w:r>
              <w:t xml:space="preserve"> </w:t>
            </w:r>
            <w:r>
              <w:rPr>
                <w:rStyle w:val="VerbatimChar"/>
              </w:rPr>
              <w:t xml:space="preserve">docs/design/INTENT_RECOGNITION.md</w:t>
            </w:r>
            <w:r>
              <w:t xml:space="preserve">, detail in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docs/guides/MESSENGER_CHANNELS.md</w:t>
            </w:r>
            <w:r>
              <w:t xml:space="preserve"> </w:t>
            </w:r>
            <w:r>
              <w:t xml:space="preserve">§6B. Prior r4: added a credentials-guide bullet + doc-link for the</w:t>
            </w:r>
            <w:r>
              <w:t xml:space="preserve"> </w:t>
            </w:r>
            <w:r>
              <w:rPr>
                <w:rStyle w:val="VerbatimChar"/>
              </w:rPr>
              <w:t xml:space="preserve">HERALD_&lt;CHANNEL&gt;_OPERATOR_USERNAME</w:t>
            </w:r>
            <w:r>
              <w:t xml:space="preserve"> </w:t>
            </w:r>
            <w:r>
              <w:t xml:space="preserve">operator env var and the participant/attribution contract (</w:t>
            </w:r>
            <w:r>
              <w:rPr>
                <w:rStyle w:val="VerbatimChar"/>
              </w:rPr>
              <w:t xml:space="preserve">docs/design/PARTICIPANT_ATTRIBUTION.md</w:t>
            </w:r>
            <w:r>
              <w:t xml:space="preserve">) driving</w:t>
            </w:r>
            <w:r>
              <w:t xml:space="preserve"> </w:t>
            </w:r>
            <w:r>
              <w:rPr>
                <w:rStyle w:val="VerbatimChar"/>
              </w:rPr>
              <w:t xml:space="preserve">created_by</w:t>
            </w:r>
            <w:r>
              <w:t xml:space="preserve">/</w:t>
            </w:r>
            <w:r>
              <w:rPr>
                <w:rStyle w:val="VerbatimChar"/>
              </w:rPr>
              <w:t xml:space="preserve">assigned_to</w:t>
            </w:r>
            <w:r>
              <w:t xml:space="preserve"> </w:t>
            </w:r>
            <w:r>
              <w:t xml:space="preserve">attribution + notification @-tagging. Prior r3: updated spec links to V4 (active) + archive/ for V1/V2; repo-layout block reflects current docs/specs/mvp/ tree.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spec-path references updated to specification.V4.md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aligned README with the V1→V2→V3 supersession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tatus">
        <w:r>
          <w:rPr>
            <w:rStyle w:val="Hyperlink"/>
          </w:rPr>
          <w:t xml:space="preserve">Status</w:t>
        </w:r>
      </w:hyperlink>
    </w:p>
    <w:p>
      <w:pPr>
        <w:pStyle w:val="Compact"/>
        <w:numPr>
          <w:ilvl w:val="0"/>
          <w:numId w:val="1001"/>
        </w:numPr>
      </w:pPr>
      <w:hyperlink w:anchor="mission">
        <w:r>
          <w:rPr>
            <w:rStyle w:val="Hyperlink"/>
          </w:rPr>
          <w:t xml:space="preserve">Mission</w:t>
        </w:r>
      </w:hyperlink>
    </w:p>
    <w:p>
      <w:pPr>
        <w:pStyle w:val="Compact"/>
        <w:numPr>
          <w:ilvl w:val="0"/>
          <w:numId w:val="1001"/>
        </w:numPr>
      </w:pPr>
      <w:hyperlink w:anchor="deployment-model">
        <w:r>
          <w:rPr>
            <w:rStyle w:val="Hyperlink"/>
          </w:rPr>
          <w:t xml:space="preserve">Deployment model</w:t>
        </w:r>
      </w:hyperlink>
    </w:p>
    <w:p>
      <w:pPr>
        <w:pStyle w:val="Compact"/>
        <w:numPr>
          <w:ilvl w:val="0"/>
          <w:numId w:val="1001"/>
        </w:numPr>
      </w:pPr>
      <w:hyperlink w:anchor="X80001dac9ac51264ee5159943675023484cb802">
        <w:r>
          <w:rPr>
            <w:rStyle w:val="Hyperlink"/>
          </w:rPr>
          <w:t xml:space="preserve">Governance — Helix Constitution inheritance</w:t>
        </w:r>
      </w:hyperlink>
    </w:p>
    <w:p>
      <w:pPr>
        <w:pStyle w:val="Compact"/>
        <w:numPr>
          <w:ilvl w:val="0"/>
          <w:numId w:val="1001"/>
        </w:numPr>
      </w:pPr>
      <w:hyperlink w:anchor="repository-layout">
        <w:r>
          <w:rPr>
            <w:rStyle w:val="Hyperlink"/>
          </w:rPr>
          <w:t xml:space="preserve">Repository layout</w:t>
        </w:r>
      </w:hyperlink>
    </w:p>
    <w:p>
      <w:pPr>
        <w:pStyle w:val="Compact"/>
        <w:numPr>
          <w:ilvl w:val="0"/>
          <w:numId w:val="1001"/>
        </w:numPr>
      </w:pPr>
      <w:hyperlink w:anchor="quickstart-for-developers-and-agents">
        <w:r>
          <w:rPr>
            <w:rStyle w:val="Hyperlink"/>
          </w:rPr>
          <w:t xml:space="preserve">Quickstart for developers and agents</w:t>
        </w:r>
      </w:hyperlink>
    </w:p>
    <w:p>
      <w:pPr>
        <w:pStyle w:val="Compact"/>
        <w:numPr>
          <w:ilvl w:val="1"/>
          <w:numId w:val="1002"/>
        </w:numPr>
      </w:pPr>
      <w:hyperlink w:anchor="X35378431ec8015390932b28e42d6964f4f9b45b">
        <w:r>
          <w:rPr>
            <w:rStyle w:val="Hyperlink"/>
          </w:rPr>
          <w:t xml:space="preserve">1. Place a copy of the Helix Constitution alongside Herald</w:t>
        </w:r>
      </w:hyperlink>
    </w:p>
    <w:p>
      <w:pPr>
        <w:pStyle w:val="Compact"/>
        <w:numPr>
          <w:ilvl w:val="1"/>
          <w:numId w:val="1002"/>
        </w:numPr>
      </w:pPr>
      <w:hyperlink w:anchor="Xc40abc6fbfefede58fa4628a50b4d998da0274f">
        <w:r>
          <w:rPr>
            <w:rStyle w:val="Hyperlink"/>
          </w:rPr>
          <w:t xml:space="preserve">2. Verify the inheritance contract</w:t>
        </w:r>
      </w:hyperlink>
    </w:p>
    <w:p>
      <w:pPr>
        <w:pStyle w:val="Compact"/>
        <w:numPr>
          <w:ilvl w:val="1"/>
          <w:numId w:val="1002"/>
        </w:numPr>
      </w:pPr>
      <w:hyperlink w:anchor="X656158d4d89821062c6d841c838450ce114ecc9">
        <w:r>
          <w:rPr>
            <w:rStyle w:val="Hyperlink"/>
          </w:rPr>
          <w:t xml:space="preserve">3. Read the inherited rules</w:t>
        </w:r>
      </w:hyperlink>
    </w:p>
    <w:p>
      <w:pPr>
        <w:pStyle w:val="Compact"/>
        <w:numPr>
          <w:ilvl w:val="0"/>
          <w:numId w:val="1001"/>
        </w:numPr>
      </w:pPr>
      <w:hyperlink w:anchor="operator-setup-guides">
        <w:r>
          <w:rPr>
            <w:rStyle w:val="Hyperlink"/>
          </w:rPr>
          <w:t xml:space="preserve">Operator setup guides</w:t>
        </w:r>
      </w:hyperlink>
    </w:p>
    <w:p>
      <w:pPr>
        <w:pStyle w:val="Compact"/>
        <w:numPr>
          <w:ilvl w:val="1"/>
          <w:numId w:val="1003"/>
        </w:numPr>
      </w:pPr>
      <w:hyperlink w:anchor="messengers">
        <w:r>
          <w:rPr>
            <w:rStyle w:val="Hyperlink"/>
          </w:rPr>
          <w:t xml:space="preserve">Messengers</w:t>
        </w:r>
      </w:hyperlink>
    </w:p>
    <w:p>
      <w:pPr>
        <w:pStyle w:val="Compact"/>
        <w:numPr>
          <w:ilvl w:val="1"/>
          <w:numId w:val="1003"/>
        </w:numPr>
      </w:pPr>
      <w:hyperlink w:anchor="llm--agent-dispatchers">
        <w:r>
          <w:rPr>
            <w:rStyle w:val="Hyperlink"/>
          </w:rPr>
          <w:t xml:space="preserve">LLM / agent dispatchers</w:t>
        </w:r>
      </w:hyperlink>
    </w:p>
    <w:p>
      <w:pPr>
        <w:pStyle w:val="Compact"/>
        <w:numPr>
          <w:ilvl w:val="1"/>
          <w:numId w:val="1003"/>
        </w:numPr>
      </w:pPr>
      <w:hyperlink w:anchor="per-flavor-operator-guides">
        <w:r>
          <w:rPr>
            <w:rStyle w:val="Hyperlink"/>
          </w:rPr>
          <w:t xml:space="preserve">Per-flavor operator guides</w:t>
        </w:r>
      </w:hyperlink>
    </w:p>
    <w:p>
      <w:pPr>
        <w:pStyle w:val="Compact"/>
        <w:numPr>
          <w:ilvl w:val="1"/>
          <w:numId w:val="1003"/>
        </w:numPr>
      </w:pPr>
      <w:hyperlink w:anchor="credentials-master-guide">
        <w:r>
          <w:rPr>
            <w:rStyle w:val="Hyperlink"/>
          </w:rPr>
          <w:t xml:space="preserve">Credentials master guide</w:t>
        </w:r>
      </w:hyperlink>
    </w:p>
    <w:p>
      <w:pPr>
        <w:pStyle w:val="Compact"/>
        <w:numPr>
          <w:ilvl w:val="0"/>
          <w:numId w:val="1001"/>
        </w:numPr>
      </w:pPr>
      <w:hyperlink w:anchor="mirror-push-convention">
        <w:r>
          <w:rPr>
            <w:rStyle w:val="Hyperlink"/>
          </w:rPr>
          <w:t xml:space="preserve">Mirror &amp; push convention</w:t>
        </w:r>
      </w:hyperlink>
    </w:p>
    <w:p>
      <w:pPr>
        <w:pStyle w:val="Compact"/>
        <w:numPr>
          <w:ilvl w:val="0"/>
          <w:numId w:val="1001"/>
        </w:numPr>
      </w:pPr>
      <w:hyperlink w:anchor="license">
        <w:r>
          <w:rPr>
            <w:rStyle w:val="Hyperlink"/>
          </w:rPr>
          <w:t xml:space="preserve">License</w:t>
        </w:r>
      </w:hyperlink>
    </w:p>
    <w:p>
      <w:pPr>
        <w:pStyle w:val="Compact"/>
        <w:numPr>
          <w:ilvl w:val="0"/>
          <w:numId w:val="1001"/>
        </w:numPr>
      </w:pPr>
      <w:hyperlink w:anchor="contact-contribution">
        <w:r>
          <w:rPr>
            <w:rStyle w:val="Hyperlink"/>
          </w:rPr>
          <w:t xml:space="preserve">Contact / contribution</w:t>
        </w:r>
      </w:hyperlink>
    </w:p>
    <w:p>
      <w:pPr>
        <w:pStyle w:val="FirstParagraph"/>
      </w:pPr>
      <w:r>
        <w:t xml:space="preserve">Ingesting system events and reliably fanning them out to multiple notification channels so every alert reaches the right destination without confusion.</w:t>
      </w:r>
    </w:p>
    <w:p>
      <w:r>
        <w:pict>
          <v:rect style="width:0;height:1.5pt" o:hralign="center" o:hrstd="t" o:hr="t"/>
        </w:pict>
      </w:r>
    </w:p>
    <w:bookmarkEnd w:id="9"/>
    <w:bookmarkStart w:id="15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Herald is</w:t>
      </w:r>
      <w:r>
        <w:t xml:space="preserve"> </w:t>
      </w:r>
      <w:r>
        <w:rPr>
          <w:b/>
          <w:bCs/>
        </w:rPr>
        <w:t xml:space="preserve">pre-implementation</w:t>
      </w:r>
      <w:r>
        <w:t xml:space="preserve"> </w:t>
      </w:r>
      <w:r>
        <w:t xml:space="preserve">(2026-05-15). The repository currently contains:</w:t>
      </w:r>
    </w:p>
    <w:p>
      <w:pPr>
        <w:pStyle w:val="Compact"/>
        <w:numPr>
          <w:ilvl w:val="0"/>
          <w:numId w:val="1004"/>
        </w:numPr>
      </w:pPr>
      <w:r>
        <w:t xml:space="preserve">This README.</w:t>
      </w:r>
    </w:p>
    <w:p>
      <w:pPr>
        <w:pStyle w:val="Compact"/>
        <w:numPr>
          <w:ilvl w:val="0"/>
          <w:numId w:val="1004"/>
        </w:numPr>
      </w:pPr>
      <w:r>
        <w:t xml:space="preserve">The current specification at</w:t>
      </w:r>
      <w:r>
        <w:t xml:space="preserve"> </w:t>
      </w:r>
      <w:hyperlink r:id="rId10">
        <w:r>
          <w:rPr>
            <w:rStyle w:val="VerbatimChar"/>
          </w:rPr>
          <w:t xml:space="preserve">docs/specs/mvp/specification.V4.md</w:t>
        </w:r>
      </w:hyperlink>
      <w:r>
        <w:t xml:space="preserve"> </w:t>
      </w:r>
      <w:r>
        <w:t xml:space="preserve">— comprehensive (~3900 lines): project-integration contract, inbound processing pipeline, LLM/agent dispatch with Claude Code, tri-stage reply protocol, versioned reports, multi-format outbound attachments, nine refined flavors. V1 and V2 preserved in</w:t>
      </w:r>
      <w:r>
        <w:t xml:space="preserve"> </w:t>
      </w:r>
      <w:hyperlink r:id="rId11">
        <w:r>
          <w:rPr>
            <w:rStyle w:val="VerbatimChar"/>
          </w:rPr>
          <w:t xml:space="preserve">docs/specs/mvp/archive/</w:t>
        </w:r>
      </w:hyperlink>
      <w:r>
        <w:t xml:space="preserve"> </w:t>
      </w:r>
      <w:r>
        <w:t xml:space="preserve">for traceability.</w:t>
      </w:r>
    </w:p>
    <w:p>
      <w:pPr>
        <w:pStyle w:val="Compact"/>
        <w:numPr>
          <w:ilvl w:val="0"/>
          <w:numId w:val="1004"/>
        </w:numPr>
      </w:pPr>
      <w:r>
        <w:t xml:space="preserve">Project-specific Constitution + operator/agent guides under</w:t>
      </w:r>
      <w:r>
        <w:t xml:space="preserve"> </w:t>
      </w:r>
      <w:hyperlink r:id="rId12">
        <w:r>
          <w:rPr>
            <w:rStyle w:val="VerbatimChar"/>
          </w:rPr>
          <w:t xml:space="preserve">docs/guides/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Mirror declarations at</w:t>
      </w:r>
      <w:r>
        <w:t xml:space="preserve"> </w:t>
      </w:r>
      <w:hyperlink r:id="rId13">
        <w:r>
          <w:rPr>
            <w:rStyle w:val="VerbatimChar"/>
          </w:rPr>
          <w:t xml:space="preserve">upstreams/</w:t>
        </w:r>
      </w:hyperlink>
      <w:r>
        <w:t xml:space="preserve"> </w:t>
      </w:r>
      <w:r>
        <w:t xml:space="preserve">— one shell script per host that exports</w:t>
      </w:r>
      <w:r>
        <w:t xml:space="preserve"> </w:t>
      </w:r>
      <w:r>
        <w:rPr>
          <w:rStyle w:val="VerbatimChar"/>
        </w:rPr>
        <w:t xml:space="preserve">UPSTREAMABLE_REPOSITORY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inheritance gate + paired mutation meta-test at</w:t>
      </w:r>
      <w:r>
        <w:t xml:space="preserve"> </w:t>
      </w:r>
      <w:hyperlink r:id="rId14">
        <w:r>
          <w:rPr>
            <w:rStyle w:val="VerbatimChar"/>
          </w:rPr>
          <w:t xml:space="preserve">tests/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tuned for Go (</w:t>
      </w:r>
      <w:r>
        <w:rPr>
          <w:rStyle w:val="VerbatimChar"/>
        </w:rPr>
        <w:t xml:space="preserve">*.test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go.work*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coverage.*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.DS_Store</w:t>
      </w:r>
      <w:r>
        <w:t xml:space="preserve">.</w:t>
      </w:r>
    </w:p>
    <w:p>
      <w:pPr>
        <w:pStyle w:val="FirstParagraph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, no Go source code, and no build tooling yet. Intended language is Go; standard</w:t>
      </w:r>
      <w:r>
        <w:t xml:space="preserve"> </w:t>
      </w:r>
      <w:r>
        <w:rPr>
          <w:rStyle w:val="VerbatimChar"/>
        </w:rPr>
        <w:t xml:space="preserve">cmd/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 </w:t>
      </w:r>
      <w:r>
        <w:t xml:space="preserve">layout will be used when scaffolding starts.</w:t>
      </w:r>
    </w:p>
    <w:bookmarkEnd w:id="15"/>
    <w:bookmarkStart w:id="16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Herald sits between systems that</w:t>
      </w:r>
      <w:r>
        <w:t xml:space="preserve"> </w:t>
      </w:r>
      <w:r>
        <w:rPr>
          <w:b/>
          <w:bCs/>
        </w:rPr>
        <w:t xml:space="preserve">emit events</w:t>
      </w:r>
      <w:r>
        <w:t xml:space="preserve"> </w:t>
      </w:r>
      <w:r>
        <w:t xml:space="preserve">and humans/services that</w:t>
      </w:r>
      <w:r>
        <w:t xml:space="preserve"> </w:t>
      </w:r>
      <w:r>
        <w:rPr>
          <w:b/>
          <w:bCs/>
        </w:rPr>
        <w:t xml:space="preserve">want to be told about them</w:t>
      </w:r>
      <w:r>
        <w:t xml:space="preserve">. It guarantees:</w:t>
      </w:r>
    </w:p>
    <w:p>
      <w:pPr>
        <w:pStyle w:val="Compact"/>
        <w:numPr>
          <w:ilvl w:val="0"/>
          <w:numId w:val="1005"/>
        </w:numPr>
      </w:pPr>
      <w:r>
        <w:t xml:space="preserve">Every event is delivered to every configured channel for its category.</w:t>
      </w:r>
    </w:p>
    <w:p>
      <w:pPr>
        <w:pStyle w:val="Compact"/>
        <w:numPr>
          <w:ilvl w:val="0"/>
          <w:numId w:val="1005"/>
        </w:numPr>
      </w:pPr>
      <w:r>
        <w:t xml:space="preserve">Duplicate suppression and routing are explicit, not accidental.</w:t>
      </w:r>
    </w:p>
    <w:p>
      <w:pPr>
        <w:pStyle w:val="Compact"/>
        <w:numPr>
          <w:ilvl w:val="0"/>
          <w:numId w:val="1005"/>
        </w:numPr>
      </w:pPr>
      <w:r>
        <w:t xml:space="preserve">Delivery failures on one channel never block delivery to other channels.</w:t>
      </w:r>
    </w:p>
    <w:bookmarkEnd w:id="16"/>
    <w:bookmarkStart w:id="18" w:name="deployment-model"/>
    <w:p>
      <w:pPr>
        <w:pStyle w:val="Heading2"/>
      </w:pPr>
      <w:r>
        <w:t xml:space="preserve">Deployment model</w:t>
      </w:r>
    </w:p>
    <w:p>
      <w:pPr>
        <w:pStyle w:val="FirstParagraph"/>
      </w:pPr>
      <w:r>
        <w:t xml:space="preserve">Herald is designed to be consumed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of a larger project (the "consuming project"). The consuming project provides: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Helix Constitution</w:t>
      </w:r>
      <w:r>
        <w:t xml:space="preserve"> </w:t>
      </w:r>
      <w:r>
        <w:t xml:space="preserve">submodule at its own</w:t>
      </w:r>
      <w:r>
        <w:t xml:space="preserve"> </w:t>
      </w:r>
      <w:r>
        <w:rPr>
          <w:rStyle w:val="VerbatimChar"/>
        </w:rPr>
        <w:t xml:space="preserve">&lt;consuming-project&gt;/constitution/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Its own CI / build orchestration that drives Herald.</w:t>
      </w:r>
    </w:p>
    <w:p>
      <w:pPr>
        <w:pStyle w:val="Compact"/>
        <w:numPr>
          <w:ilvl w:val="0"/>
          <w:numId w:val="1006"/>
        </w:numPr>
      </w:pPr>
      <w:r>
        <w:t xml:space="preserve">Any project-wide configuration (credentials, deployment targets, channel registries).</w:t>
      </w:r>
    </w:p>
    <w:p>
      <w:pPr>
        <w:pStyle w:val="FirstParagraph"/>
      </w:pPr>
      <w:r>
        <w:t xml:space="preserve">Herald therefore</w:t>
      </w:r>
      <w:r>
        <w:t xml:space="preserve"> </w:t>
      </w:r>
      <w:r>
        <w:rPr>
          <w:b/>
          <w:bCs/>
        </w:rPr>
        <w:t xml:space="preserve">does not carry its own copy</w:t>
      </w:r>
      <w:r>
        <w:t xml:space="preserve"> </w:t>
      </w:r>
      <w:r>
        <w:t xml:space="preserve">of the constitution. See</w:t>
      </w:r>
      <w:r>
        <w:t xml:space="preserve"> </w:t>
      </w:r>
      <w:hyperlink r:id="rId17">
        <w:r>
          <w:rPr>
            <w:rStyle w:val="VerbatimChar"/>
          </w:rPr>
          <w:t xml:space="preserve">docs/guides/CONSTITUTION_INHERITANCE.md</w:t>
        </w:r>
      </w:hyperlink>
      <w:r>
        <w:t xml:space="preserve"> </w:t>
      </w:r>
      <w:r>
        <w:t xml:space="preserve">for the full rationale and the discovery contract that lets Herald locate the constitution at runtime from any nested depth.</w:t>
      </w:r>
    </w:p>
    <w:bookmarkEnd w:id="18"/>
    <w:bookmarkStart w:id="21" w:name="Xb3c0546342e3c7234c2c61ace57582bb2caf8dc"/>
    <w:p>
      <w:pPr>
        <w:pStyle w:val="Heading2"/>
      </w:pPr>
      <w:r>
        <w:t xml:space="preserve">Governance — Helix Constitution inheritance</w:t>
      </w:r>
    </w:p>
    <w:p>
      <w:pPr>
        <w:pStyle w:val="FirstParagraph"/>
      </w:pPr>
      <w:r>
        <w:t xml:space="preserve">Herald inherits unconditionally from the</w:t>
      </w:r>
      <w:r>
        <w:t xml:space="preserve"> </w:t>
      </w:r>
      <w:hyperlink r:id="rId19">
        <w:r>
          <w:rPr>
            <w:rStyle w:val="Hyperlink"/>
          </w:rPr>
          <w:t xml:space="preserve">Helix Universal Constitution</w:t>
        </w:r>
      </w:hyperlink>
      <w:r>
        <w:t xml:space="preserve">. Inheritance is enforced by a paired gate + mutation meta-test under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(see below). Herald-specific extensions live in</w:t>
      </w:r>
      <w:r>
        <w:t xml:space="preserve"> </w:t>
      </w:r>
      <w:hyperlink r:id="rId20">
        <w:r>
          <w:rPr>
            <w:rStyle w:val="VerbatimChar"/>
          </w:rPr>
          <w:t xml:space="preserve">docs/guides/HERALD_CONSTITUTION.md</w:t>
        </w:r>
      </w:hyperlink>
      <w:r>
        <w:t xml:space="preserve">; there are currently no overrides of any universal clause.</w:t>
      </w:r>
    </w:p>
    <w:p>
      <w:pPr>
        <w:pStyle w:val="BodyText"/>
      </w:pPr>
      <w:r>
        <w:t xml:space="preserve">Key invariants Herald inherits from the constitution: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bluffing</w:t>
      </w:r>
      <w:r>
        <w:t xml:space="preserve"> </w:t>
      </w:r>
      <w:r>
        <w:t xml:space="preserve">— every PASS carries positive evidence (§11.4).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Mutation-paired gates</w:t>
      </w:r>
      <w:r>
        <w:t xml:space="preserve"> </w:t>
      </w:r>
      <w:r>
        <w:t xml:space="preserve">— every new gate has a paired mutation proving it catches regressions (§1.1).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guessing language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likely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probably</w:t>
      </w:r>
      <w:r>
        <w:t xml:space="preserve">,</w:t>
      </w:r>
      <w:r>
        <w:t xml:space="preserve"> </w:t>
      </w:r>
      <w:r>
        <w:rPr>
          <w:rStyle w:val="VerbatimChar"/>
        </w:rPr>
        <w:t xml:space="preserve">maybe</w:t>
      </w:r>
      <w:r>
        <w:t xml:space="preserve">,</w:t>
      </w:r>
      <w:r>
        <w:t xml:space="preserve"> </w:t>
      </w:r>
      <w:r>
        <w:rPr>
          <w:rStyle w:val="VerbatimChar"/>
        </w:rPr>
        <w:t xml:space="preserve">seems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appears</w:t>
      </w:r>
      <w:r>
        <w:t xml:space="preserve"> </w:t>
      </w:r>
      <w:r>
        <w:t xml:space="preserve">are forbidden when reporting causes (§11.4.6).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Credentials never tracked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git-ignored, runtime-load only (§11.4.10).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Multi-upstream push</w:t>
      </w:r>
      <w:r>
        <w:t xml:space="preserve"> </w:t>
      </w:r>
      <w:r>
        <w:t xml:space="preserve">— every commit fans out to GitHub + GitLab + GitFlic + GitVerse (§2.1).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Hardlinked backup before destructive ops</w:t>
      </w:r>
      <w:r>
        <w:t xml:space="preserve"> </w:t>
      </w:r>
      <w:r>
        <w:t xml:space="preserve">(§9).</w:t>
      </w:r>
    </w:p>
    <w:p>
      <w:pPr>
        <w:pStyle w:val="FirstParagraph"/>
      </w:pPr>
      <w:r>
        <w:t xml:space="preserve">The constitution lives at</w:t>
      </w:r>
      <w:r>
        <w:t xml:space="preserve"> </w:t>
      </w:r>
      <w:hyperlink r:id="rId19">
        <w:r>
          <w:rPr>
            <w:rStyle w:val="Hyperlink"/>
          </w:rPr>
          <w:t xml:space="preserve">https://github.com/HelixDevelopment/HelixConstitution</w:t>
        </w:r>
      </w:hyperlink>
      <w:r>
        <w:t xml:space="preserve"> </w:t>
      </w:r>
      <w:r>
        <w:t xml:space="preserve">and is mirrored to GitLab, GitFlic, and GitVerse.</w:t>
      </w:r>
    </w:p>
    <w:bookmarkEnd w:id="21"/>
    <w:bookmarkStart w:id="22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Herald/</w:t>
      </w:r>
      <w:r>
        <w:br/>
      </w:r>
      <w:r>
        <w:rPr>
          <w:rStyle w:val="VerbatimChar"/>
        </w:rPr>
        <w:t xml:space="preserve">├── README.md                                  # this file</w:t>
      </w:r>
      <w:r>
        <w:br/>
      </w:r>
      <w:r>
        <w:rPr>
          <w:rStyle w:val="VerbatimChar"/>
        </w:rPr>
        <w:t xml:space="preserve">├── CLAUDE.md                                  # guidance for Claude Code agents</w:t>
      </w:r>
      <w:r>
        <w:br/>
      </w:r>
      <w:r>
        <w:rPr>
          <w:rStyle w:val="VerbatimChar"/>
        </w:rPr>
        <w:t xml:space="preserve">├── AGENTS.md                                  # guidance for generic CLI agents</w:t>
      </w:r>
      <w:r>
        <w:br/>
      </w:r>
      <w:r>
        <w:rPr>
          <w:rStyle w:val="VerbatimChar"/>
        </w:rPr>
        <w:t xml:space="preserve">├── LICENSE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guides/</w:t>
      </w:r>
      <w:r>
        <w:br/>
      </w:r>
      <w:r>
        <w:rPr>
          <w:rStyle w:val="VerbatimChar"/>
        </w:rPr>
        <w:t xml:space="preserve">│   │   ├── HERALD_CONSTITUTION.md             # Herald's project constitution (extends Helix)</w:t>
      </w:r>
      <w:r>
        <w:br/>
      </w:r>
      <w:r>
        <w:rPr>
          <w:rStyle w:val="VerbatimChar"/>
        </w:rPr>
        <w:t xml:space="preserve">│   │   └── CONSTITUTION_INHERITANCE.md        # operator/agent guide for the inheritance contract</w:t>
      </w:r>
      <w:r>
        <w:br/>
      </w:r>
      <w:r>
        <w:rPr>
          <w:rStyle w:val="VerbatimChar"/>
        </w:rPr>
        <w:t xml:space="preserve">│   └── specs/</w:t>
      </w:r>
      <w:r>
        <w:br/>
      </w:r>
      <w:r>
        <w:rPr>
          <w:rStyle w:val="VerbatimChar"/>
        </w:rPr>
        <w:t xml:space="preserve">│       └── mvp/</w:t>
      </w:r>
      <w:r>
        <w:br/>
      </w:r>
      <w:r>
        <w:rPr>
          <w:rStyle w:val="VerbatimChar"/>
        </w:rPr>
        <w:t xml:space="preserve">│           ├── specification.V4.md           # active spec (operator-product)</w:t>
      </w:r>
      <w:r>
        <w:br/>
      </w:r>
      <w:r>
        <w:rPr>
          <w:rStyle w:val="VerbatimChar"/>
        </w:rPr>
        <w:t xml:space="preserve">│           └── archive/</w:t>
      </w:r>
      <w:r>
        <w:br/>
      </w:r>
      <w:r>
        <w:rPr>
          <w:rStyle w:val="VerbatimChar"/>
        </w:rPr>
        <w:t xml:space="preserve">│               ├── specification.V1.md       # historical, superseded</w:t>
      </w:r>
      <w:r>
        <w:br/>
      </w:r>
      <w:r>
        <w:rPr>
          <w:rStyle w:val="VerbatimChar"/>
        </w:rPr>
        <w:t xml:space="preserve">│               └── specification.V2.md       # historical, superseded</w:t>
      </w:r>
      <w:r>
        <w:br/>
      </w:r>
      <w:r>
        <w:rPr>
          <w:rStyle w:val="VerbatimChar"/>
        </w:rPr>
        <w:t xml:space="preserve">├── upstreams/                                 # Herald's mirror declarations</w:t>
      </w:r>
      <w:r>
        <w:br/>
      </w:r>
      <w:r>
        <w:rPr>
          <w:rStyle w:val="VerbatimChar"/>
        </w:rPr>
        <w:t xml:space="preserve">│   ├── GitHub.sh</w:t>
      </w:r>
      <w:r>
        <w:br/>
      </w:r>
      <w:r>
        <w:rPr>
          <w:rStyle w:val="VerbatimChar"/>
        </w:rPr>
        <w:t xml:space="preserve">│   ├── GitLab.sh</w:t>
      </w:r>
      <w:r>
        <w:br/>
      </w:r>
      <w:r>
        <w:rPr>
          <w:rStyle w:val="VerbatimChar"/>
        </w:rPr>
        <w:t xml:space="preserve">│   ├── GitFlic.sh</w:t>
      </w:r>
      <w:r>
        <w:br/>
      </w:r>
      <w:r>
        <w:rPr>
          <w:rStyle w:val="VerbatimChar"/>
        </w:rPr>
        <w:t xml:space="preserve">│   └── GitVerse.sh</w:t>
      </w:r>
      <w:r>
        <w:br/>
      </w:r>
      <w:r>
        <w:rPr>
          <w:rStyle w:val="VerbatimChar"/>
        </w:rPr>
        <w:t xml:space="preserve">└── tests/</w:t>
      </w:r>
      <w:r>
        <w:br/>
      </w:r>
      <w:r>
        <w:rPr>
          <w:rStyle w:val="VerbatimChar"/>
        </w:rPr>
        <w:t xml:space="preserve">    ├── test_constitution_inheritance.sh       # inheritance gate</w:t>
      </w:r>
      <w:r>
        <w:br/>
      </w:r>
      <w:r>
        <w:rPr>
          <w:rStyle w:val="VerbatimChar"/>
        </w:rPr>
        <w:t xml:space="preserve">    └── test_constitution_inheritance_meta.sh  # paired mutation meta-test (§1.1)</w:t>
      </w:r>
    </w:p>
    <w:bookmarkEnd w:id="22"/>
    <w:bookmarkStart w:id="29" w:name="quickstart-for-developers-and-agents"/>
    <w:p>
      <w:pPr>
        <w:pStyle w:val="Heading2"/>
      </w:pPr>
      <w:r>
        <w:t xml:space="preserve">Quickstart for developers and agents</w:t>
      </w:r>
    </w:p>
    <w:bookmarkStart w:id="24" w:name="X35378431ec8015390932b28e42d6964f4f9b45b"/>
    <w:p>
      <w:pPr>
        <w:pStyle w:val="Heading3"/>
      </w:pPr>
      <w:r>
        <w:t xml:space="preserve">1. Place a copy of the Helix Constitution alongside Herald</w:t>
      </w:r>
    </w:p>
    <w:p>
      <w:pPr>
        <w:pStyle w:val="FirstParagraph"/>
      </w:pPr>
      <w:r>
        <w:t xml:space="preserve">If you cloned Herald standalone (not as a submodule of a larger project), put a clone of the constitution</w:t>
      </w:r>
      <w:r>
        <w:t xml:space="preserve"> </w:t>
      </w:r>
      <w:r>
        <w:rPr>
          <w:b/>
          <w:bCs/>
        </w:rPr>
        <w:t xml:space="preserve">next to</w:t>
      </w:r>
      <w:r>
        <w:t xml:space="preserve"> </w:t>
      </w:r>
      <w:r>
        <w:t xml:space="preserve">Herald (not inside it — see</w:t>
      </w:r>
      <w:r>
        <w:t xml:space="preserve"> </w:t>
      </w:r>
      <w:hyperlink r:id="rId23">
        <w:r>
          <w:rPr>
            <w:rStyle w:val="Hyperlink"/>
          </w:rPr>
          <w:t xml:space="preserve">§104 of the Herald Constitution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git@github.com:HelixDevelopment/HelixConstitution.git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/constitution</w:t>
      </w:r>
    </w:p>
    <w:p>
      <w:pPr>
        <w:pStyle w:val="FirstParagraph"/>
      </w:pPr>
      <w:r>
        <w:t xml:space="preserve">This is only needed for standalone work. When Herald is consumed as a submodule of a larger project, that project already provides</w:t>
      </w:r>
      <w:r>
        <w:t xml:space="preserve"> </w:t>
      </w:r>
      <w:r>
        <w:rPr>
          <w:rStyle w:val="VerbatimChar"/>
        </w:rPr>
        <w:t xml:space="preserve">&lt;parent&gt;/constitution/</w:t>
      </w:r>
      <w:r>
        <w:t xml:space="preserve">.</w:t>
      </w:r>
    </w:p>
    <w:bookmarkEnd w:id="24"/>
    <w:bookmarkStart w:id="25" w:name="Xc40abc6fbfefede58fa4628a50b4d998da0274f"/>
    <w:p>
      <w:pPr>
        <w:pStyle w:val="Heading3"/>
      </w:pPr>
      <w:r>
        <w:t xml:space="preserve">2. Verify the inheritance contract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tests/test_constitution_inheritance.sh        </w:t>
      </w:r>
      <w:r>
        <w:rPr>
          <w:rStyle w:val="CommentTok"/>
        </w:rPr>
        <w:t xml:space="preserve"># gate (7 invariants)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tests/test_constitution_inheritance_meta.sh   </w:t>
      </w:r>
      <w:r>
        <w:rPr>
          <w:rStyle w:val="CommentTok"/>
        </w:rPr>
        <w:t xml:space="preserve"># paired §1.1 mutation proof</w:t>
      </w:r>
    </w:p>
    <w:p>
      <w:pPr>
        <w:pStyle w:val="FirstParagraph"/>
      </w:pPr>
      <w:r>
        <w:t xml:space="preserve">Both MUST exit 0. The gate prints</w:t>
      </w:r>
      <w:r>
        <w:t xml:space="preserve"> </w:t>
      </w:r>
      <w:r>
        <w:rPr>
          <w:rStyle w:val="VerbatimChar"/>
        </w:rPr>
        <w:t xml:space="preserve">PASS  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  …</w:t>
      </w:r>
      <w:r>
        <w:t xml:space="preserve"> </w:t>
      </w:r>
      <w:r>
        <w:t xml:space="preserve">per invariant and a summary line. The meta-test prints</w:t>
      </w:r>
      <w:r>
        <w:t xml:space="preserve"> </w:t>
      </w:r>
      <w:r>
        <w:rPr>
          <w:rStyle w:val="VerbatimChar"/>
        </w:rPr>
        <w:t xml:space="preserve">✓ META-TEST PASS</w:t>
      </w:r>
      <w:r>
        <w:t xml:space="preserve"> </w:t>
      </w:r>
      <w:r>
        <w:t xml:space="preserve">when the gate correctly fails on a mutated constitution.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I1</w:t>
      </w:r>
      <w:r>
        <w:t xml:space="preserve"> </w:t>
      </w:r>
      <w:r>
        <w:t xml:space="preserve">fails (constitution not found), follow the message — clone the constitution alongside Herald.</w:t>
      </w:r>
    </w:p>
    <w:bookmarkEnd w:id="25"/>
    <w:bookmarkStart w:id="28" w:name="X656158d4d89821062c6d841c838450ce114ecc9"/>
    <w:p>
      <w:pPr>
        <w:pStyle w:val="Heading3"/>
      </w:pPr>
      <w:r>
        <w:t xml:space="preserve">3. Read the inherited rules</w:t>
      </w:r>
    </w:p>
    <w:p>
      <w:pPr>
        <w:pStyle w:val="FirstParagraph"/>
      </w:pPr>
      <w:r>
        <w:t xml:space="preserve">In this order, read fully before submitting any change: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&lt;discovered-constitution&gt;/CLAUDE.md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— universal Helix rules.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&lt;discovered-constitution&gt;/AGENTS.md</w:t>
      </w:r>
      <w:r>
        <w:t xml:space="preserve"> </w:t>
      </w:r>
      <w:r>
        <w:t xml:space="preserve">— anti-bluff, no-guessing, paired mutations.</w:t>
      </w:r>
    </w:p>
    <w:p>
      <w:pPr>
        <w:pStyle w:val="Compact"/>
        <w:numPr>
          <w:ilvl w:val="0"/>
          <w:numId w:val="1008"/>
        </w:numPr>
      </w:pPr>
      <w:r>
        <w:t xml:space="preserve">This README — Herald overview.</w:t>
      </w:r>
    </w:p>
    <w:p>
      <w:pPr>
        <w:pStyle w:val="Compact"/>
        <w:numPr>
          <w:ilvl w:val="0"/>
          <w:numId w:val="1008"/>
        </w:numPr>
      </w:pPr>
      <w:hyperlink r:id="rId26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/</w:t>
      </w:r>
      <w:r>
        <w:t xml:space="preserve"> 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 Herald-specific guidance.</w:t>
      </w:r>
    </w:p>
    <w:p>
      <w:pPr>
        <w:pStyle w:val="Compact"/>
        <w:numPr>
          <w:ilvl w:val="0"/>
          <w:numId w:val="1008"/>
        </w:numPr>
      </w:pPr>
      <w:hyperlink r:id="rId20">
        <w:r>
          <w:rPr>
            <w:rStyle w:val="VerbatimChar"/>
          </w:rPr>
          <w:t xml:space="preserve">docs/guides/HERALD_CONSTITUTION.md</w:t>
        </w:r>
      </w:hyperlink>
      <w:r>
        <w:t xml:space="preserve"> </w:t>
      </w:r>
      <w:r>
        <w:t xml:space="preserve">— Herald's articles §101–§106.</w:t>
      </w:r>
    </w:p>
    <w:p>
      <w:pPr>
        <w:pStyle w:val="Compact"/>
        <w:numPr>
          <w:ilvl w:val="0"/>
          <w:numId w:val="1008"/>
        </w:numPr>
      </w:pPr>
      <w:hyperlink r:id="rId17">
        <w:r>
          <w:rPr>
            <w:rStyle w:val="VerbatimChar"/>
          </w:rPr>
          <w:t xml:space="preserve">docs/guides/CONSTITUTION_INHERITANCE.md</w:t>
        </w:r>
      </w:hyperlink>
      <w:r>
        <w:t xml:space="preserve"> </w:t>
      </w:r>
      <w:r>
        <w:t xml:space="preserve">— the discovery contract and gate semantics.</w:t>
      </w:r>
    </w:p>
    <w:p>
      <w:pPr>
        <w:pStyle w:val="Compact"/>
        <w:numPr>
          <w:ilvl w:val="0"/>
          <w:numId w:val="1008"/>
        </w:numPr>
      </w:pPr>
      <w:hyperlink r:id="rId10">
        <w:r>
          <w:rPr>
            <w:rStyle w:val="VerbatimChar"/>
          </w:rPr>
          <w:t xml:space="preserve">docs/specs/mvp/specification.V4.md</w:t>
        </w:r>
      </w:hyperlink>
      <w:r>
        <w:t xml:space="preserve"> </w:t>
      </w:r>
      <w:r>
        <w:t xml:space="preserve">— current spec (active). Historical V1/V2 in</w:t>
      </w:r>
      <w:r>
        <w:t xml:space="preserve"> </w:t>
      </w:r>
      <w:hyperlink r:id="rId11">
        <w:r>
          <w:rPr>
            <w:rStyle w:val="VerbatimChar"/>
          </w:rPr>
          <w:t xml:space="preserve">docs/specs/mvp/archive/</w:t>
        </w:r>
      </w:hyperlink>
      <w:r>
        <w:t xml:space="preserve">.</w:t>
      </w:r>
    </w:p>
    <w:bookmarkEnd w:id="28"/>
    <w:bookmarkEnd w:id="29"/>
    <w:bookmarkStart w:id="65" w:name="operator-setup-guides"/>
    <w:p>
      <w:pPr>
        <w:pStyle w:val="Heading2"/>
      </w:pPr>
      <w:r>
        <w:t xml:space="preserve">Operator setup guides</w:t>
      </w:r>
    </w:p>
    <w:p>
      <w:pPr>
        <w:pStyle w:val="FirstParagraph"/>
      </w:pPr>
      <w:r>
        <w:t xml:space="preserve">Every supported messenger and every supported LLM / agent dispatcher has its own step-by-step setup guide under</w:t>
      </w:r>
      <w:r>
        <w:t xml:space="preserve"> </w:t>
      </w:r>
      <w:hyperlink r:id="rId12">
        <w:r>
          <w:rPr>
            <w:rStyle w:val="VerbatimChar"/>
          </w:rPr>
          <w:t xml:space="preserve">docs/guides/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ones are detailed end-to-end (obtain credentials → set env vars → verify integration tests → troubleshooting).</w:t>
      </w:r>
      <w:r>
        <w:t xml:space="preserve"> </w:t>
      </w:r>
      <w:r>
        <w:rPr>
          <w:b/>
          <w:bCs/>
        </w:rPr>
        <w:t xml:space="preserve">Planned</w:t>
      </w:r>
      <w:r>
        <w:t xml:space="preserve"> </w:t>
      </w:r>
      <w:r>
        <w:t xml:space="preserve">ones are placeholder stubs that reserve the env-var names so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stays stable as features land.</w:t>
      </w:r>
    </w:p>
    <w:p>
      <w:pPr>
        <w:pStyle w:val="BlockText"/>
      </w:pPr>
      <w:r>
        <w:rPr>
          <w:b/>
          <w:bCs/>
        </w:rPr>
        <w:t xml:space="preserve">Subscribers speak plain natural language — no command syntax.</w:t>
      </w:r>
      <w:r>
        <w:t xml:space="preserve"> </w:t>
      </w:r>
      <w:r>
        <w:t xml:space="preserve">Whichever messenger they use, subscribers do NOT need to learn any command syntax (no</w:t>
      </w:r>
      <w:r>
        <w:t xml:space="preserve"> </w:t>
      </w:r>
      <w:r>
        <w:rPr>
          <w:rStyle w:val="VerbatimChar"/>
        </w:rPr>
        <w:t xml:space="preserve">COMMAND:</w:t>
      </w:r>
      <w:r>
        <w:t xml:space="preserve"> </w:t>
      </w:r>
      <w:r>
        <w:t xml:space="preserve">prefix). They send a clear message in their own words and the System determines the intent via a three-tier discipline (command-recognition fast-path → Claude Code intent inference → a</w:t>
      </w:r>
      <w:r>
        <w:t xml:space="preserve"> </w:t>
      </w:r>
      <w:r>
        <w:rPr>
          <w:rStyle w:val="VerbatimChar"/>
        </w:rPr>
        <w:t xml:space="preserve">clarify</w:t>
      </w:r>
      <w:r>
        <w:t xml:space="preserve"> </w:t>
      </w:r>
      <w:r>
        <w:t xml:space="preserve">reply-tag-and-ask fallback), never guessing and never ignoring a message. Authoritative contract:</w:t>
      </w:r>
      <w:r>
        <w:t xml:space="preserve"> </w:t>
      </w:r>
      <w:hyperlink r:id="rId30">
        <w:r>
          <w:rPr>
            <w:rStyle w:val="VerbatimChar"/>
          </w:rPr>
          <w:t xml:space="preserve">docs/design/INTENT_RECOGNITION.md</w:t>
        </w:r>
      </w:hyperlink>
      <w:r>
        <w:t xml:space="preserve">; operator-facing detail in</w:t>
      </w:r>
      <w:r>
        <w:t xml:space="preserve"> </w:t>
      </w:r>
      <w:hyperlink r:id="rId31">
        <w:r>
          <w:rPr>
            <w:rStyle w:val="VerbatimChar"/>
          </w:rPr>
          <w:t xml:space="preserve">docs/guides/MESSENGER_CHANNELS.md</w:t>
        </w:r>
      </w:hyperlink>
      <w:r>
        <w:t xml:space="preserve"> </w:t>
      </w:r>
      <w:r>
        <w:t xml:space="preserve">§6B.</w:t>
      </w:r>
    </w:p>
    <w:bookmarkStart w:id="41" w:name="messengers"/>
    <w:p>
      <w:pPr>
        <w:pStyle w:val="Heading3"/>
      </w:pPr>
      <w:r>
        <w:t xml:space="preserve">Messengers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(HRD-011 code complete; awaiting live evidence)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docs/guides/messengers/TELEGRAM.md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Slack</w:t>
            </w:r>
          </w:p>
        </w:tc>
        <w:tc>
          <w:tcPr/>
          <w:p>
            <w:pPr>
              <w:pStyle w:val="Compact"/>
            </w:pPr>
            <w:r>
              <w:t xml:space="preserve">Planned (V2)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docs/guides/messengers/SLACK.md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Email (SMTP + Resend)</w:t>
            </w:r>
          </w:p>
        </w:tc>
        <w:tc>
          <w:tcPr/>
          <w:p>
            <w:pPr>
              <w:pStyle w:val="Compact"/>
            </w:pPr>
            <w:r>
              <w:t xml:space="preserve">Planned (V2)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docs/guides/messengers/EMAIL.md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Planned (V2)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docs/guides/messengers/MAX.md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Microsoft Teams</w:t>
            </w:r>
          </w:p>
        </w:tc>
        <w:tc>
          <w:tcPr/>
          <w:p>
            <w:pPr>
              <w:pStyle w:val="Compact"/>
            </w:pPr>
            <w:r>
              <w:t xml:space="preserve">Planned (V3)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docs/guides/messengers/TEAMS.md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Lark / Feishu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docs/guides/messengers/LARK.md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Discord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docs/guides/messengers/DISCORD.md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WhatsApp Business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docs/guides/messengers/WHATSAPP.md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Viber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docs/guides/messengers/VIBER.md</w:t>
              </w:r>
            </w:hyperlink>
          </w:p>
        </w:tc>
      </w:tr>
    </w:tbl>
    <w:bookmarkEnd w:id="41"/>
    <w:bookmarkStart w:id="48" w:name="llm--agent-dispatchers"/>
    <w:p>
      <w:pPr>
        <w:pStyle w:val="Heading3"/>
      </w:pPr>
      <w:r>
        <w:t xml:space="preserve">LLM / agent dispatchers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Dispatcher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(HRD-012 Fixed — live E18 evidence captured)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docs/guides/dispatchers/CLAUDE_CODE.md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docs/guides/dispatchers/OPENCODE.md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Aider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docs/guides/dispatchers/AIDER.md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Gemini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docs/guides/dispatchers/GEMINI.md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Cursor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docs/guides/dispatchers/CURSOR.md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Anthropic Managed Agent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docs/guides/dispatchers/ANTHROPIC.md</w:t>
              </w:r>
            </w:hyperlink>
          </w:p>
        </w:tc>
      </w:tr>
    </w:tbl>
    <w:bookmarkEnd w:id="48"/>
    <w:bookmarkStart w:id="57" w:name="per-flavor-operator-guides"/>
    <w:p>
      <w:pPr>
        <w:pStyle w:val="Heading3"/>
      </w:pPr>
      <w:r>
        <w:t xml:space="preserve">Per-flavor operator guides</w:t>
      </w:r>
    </w:p>
    <w:p>
      <w:pPr>
        <w:pStyle w:val="FirstParagraph"/>
      </w:pPr>
      <w:r>
        <w:t xml:space="preserve">Each Herald flavor binary ships with a nano-detail operator reference under</w:t>
      </w:r>
      <w:r>
        <w:t xml:space="preserve"> </w:t>
      </w:r>
      <w:hyperlink r:id="rId12">
        <w:r>
          <w:rPr>
            <w:rStyle w:val="VerbatimChar"/>
          </w:rPr>
          <w:t xml:space="preserve">docs/guides/</w:t>
        </w:r>
      </w:hyperlink>
      <w:r>
        <w:t xml:space="preserve">, documenting every subcommand the built binary surfaces (</w:t>
      </w:r>
      <w:r>
        <w:rPr>
          <w:rStyle w:val="VerbatimChar"/>
        </w:rPr>
        <w:t xml:space="preserve">&lt;flavor&gt; --help</w:t>
      </w:r>
      <w:r>
        <w:t xml:space="preserve">), the env/credentials each needs, real example invocations, and which subcommands are live vs not-yet-implemented (all anti-bluff — derived from running the actual binary, nothing invented).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Flavor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Guide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</w:p>
        </w:tc>
        <w:tc>
          <w:tcPr/>
          <w:p>
            <w:pPr>
              <w:pStyle w:val="Compact"/>
            </w:pPr>
            <w:r>
              <w:t xml:space="preserve">Project Herald — the richest flavor: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watch</w:t>
            </w:r>
            <w:r>
              <w:t xml:space="preserve">/</w:t>
            </w:r>
            <w:r>
              <w:rPr>
                <w:rStyle w:val="VerbatimChar"/>
              </w:rPr>
              <w:t xml:space="preserve">migrate</w:t>
            </w:r>
            <w:r>
              <w:t xml:space="preserve">/</w:t>
            </w:r>
            <w:r>
              <w:rPr>
                <w:rStyle w:val="VerbatimChar"/>
              </w:rPr>
              <w:t xml:space="preserve">wizard</w:t>
            </w:r>
            <w:r>
              <w:t xml:space="preserve">/</w:t>
            </w:r>
            <w:r>
              <w:rPr>
                <w:rStyle w:val="VerbatimChar"/>
              </w:rPr>
              <w:t xml:space="preserve">commit-push</w:t>
            </w:r>
            <w:r>
              <w:t xml:space="preserve"> </w:t>
            </w:r>
            <w:r>
              <w:t xml:space="preserve">+ the §43 GitOps commands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docs/guides/PHERALD.md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</w:p>
        </w:tc>
        <w:tc>
          <w:tcPr/>
          <w:p>
            <w:pPr>
              <w:pStyle w:val="Compact"/>
            </w:pPr>
            <w:r>
              <w:t xml:space="preserve">System Herald —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/v1/safety_state</w:t>
            </w:r>
            <w:r>
              <w:t xml:space="preserve">) + the host-safety guard commands (</w:t>
            </w:r>
            <w:r>
              <w:rPr>
                <w:rStyle w:val="VerbatimChar"/>
              </w:rPr>
              <w:t xml:space="preserve">destructive-guard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force-push-gate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mem-budget-watch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backup-snapshot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docs/guides/SHERALD.md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</w:p>
        </w:tc>
        <w:tc>
          <w:tcPr/>
          <w:p>
            <w:pPr>
              <w:pStyle w:val="Compact"/>
            </w:pPr>
            <w:r>
              <w:t xml:space="preserve">Constitution Herald —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/v1/compliance</w:t>
            </w:r>
            <w:r>
              <w:t xml:space="preserve">) + the §11.4 compliance-check catalogue (</w:t>
            </w:r>
            <w:r>
              <w:rPr>
                <w:rStyle w:val="VerbatimChar"/>
              </w:rPr>
              <w:t xml:space="preserve">creds-scan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docs-sync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composite-gate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readme-sync</w:t>
            </w:r>
            <w:r>
              <w:t xml:space="preserve">, …)</w:t>
            </w:r>
          </w:p>
        </w:tc>
        <w:tc>
          <w:tcPr/>
          <w:p>
            <w:pPr>
              <w:pStyle w:val="Compact"/>
            </w:pPr>
            <w:hyperlink r:id="rId51">
              <w:r>
                <w:rPr>
                  <w:rStyle w:val="VerbatimChar"/>
                </w:rPr>
                <w:t xml:space="preserve">docs/guides/CHERALD.md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</w:p>
        </w:tc>
        <w:tc>
          <w:tcPr/>
          <w:p>
            <w:pPr>
              <w:pStyle w:val="Compact"/>
            </w:pPr>
            <w:r>
              <w:t xml:space="preserve">Build Herald — CLI-only CI/test gates:</w:t>
            </w:r>
            <w:r>
              <w:t xml:space="preserve"> </w:t>
            </w:r>
            <w:r>
              <w:rPr>
                <w:rStyle w:val="VerbatimChar"/>
              </w:rPr>
              <w:t xml:space="preserve">evidence-capture</w:t>
            </w:r>
            <w:r>
              <w:t xml:space="preserve"> </w:t>
            </w:r>
            <w:r>
              <w:t xml:space="preserve">(§11.4.2) +</w:t>
            </w:r>
            <w:r>
              <w:t xml:space="preserve"> </w:t>
            </w:r>
            <w:r>
              <w:rPr>
                <w:rStyle w:val="VerbatimChar"/>
              </w:rPr>
              <w:t xml:space="preserve">test-tier-verify</w:t>
            </w:r>
            <w:r>
              <w:t xml:space="preserve"> </w:t>
            </w:r>
            <w:r>
              <w:t xml:space="preserve">(§40.2 8-tier matrix);</w:t>
            </w:r>
            <w:r>
              <w:t xml:space="preserve"> </w:t>
            </w:r>
            <w:r>
              <w:rPr>
                <w:rStyle w:val="VerbatimChar"/>
              </w:rPr>
              <w:t xml:space="preserve">gate-retest</w:t>
            </w:r>
            <w:r>
              <w:t xml:space="preserve"> </w:t>
            </w:r>
            <w:r>
              <w:t xml:space="preserve">not-yet-implemented (HRD-045)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docs/guides/BHERALD.md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</w:p>
        </w:tc>
        <w:tc>
          <w:tcPr/>
          <w:p>
            <w:pPr>
              <w:pStyle w:val="Compact"/>
            </w:pPr>
            <w:r>
              <w:t xml:space="preserve">Release Herald — CLI-only release path:</w:t>
            </w:r>
            <w:r>
              <w:t xml:space="preserve"> </w:t>
            </w:r>
            <w:r>
              <w:rPr>
                <w:rStyle w:val="VerbatimChar"/>
              </w:rPr>
              <w:t xml:space="preserve">changelog-generate</w:t>
            </w:r>
            <w:r>
              <w:t xml:space="preserve"> </w:t>
            </w:r>
            <w:r>
              <w:t xml:space="preserve">(§5),</w:t>
            </w:r>
            <w:r>
              <w:t xml:space="preserve"> </w:t>
            </w:r>
            <w:r>
              <w:rPr>
                <w:rStyle w:val="VerbatimChar"/>
              </w:rPr>
              <w:t xml:space="preserve">tag-mirror</w:t>
            </w:r>
            <w:r>
              <w:t xml:space="preserve"> </w:t>
            </w:r>
            <w:r>
              <w:t xml:space="preserve">(§4 cross-mirror parity),</w:t>
            </w:r>
            <w:r>
              <w:t xml:space="preserve"> </w:t>
            </w:r>
            <w:r>
              <w:rPr>
                <w:rStyle w:val="VerbatimChar"/>
              </w:rPr>
              <w:t xml:space="preserve">gate-retest</w:t>
            </w:r>
            <w:r>
              <w:t xml:space="preserve"> </w:t>
            </w:r>
            <w:r>
              <w:t xml:space="preserve">(§11.4.40 pre-tag retest)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docs/guides/RHERALD.md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</w:p>
        </w:tc>
        <w:tc>
          <w:tcPr/>
          <w:p>
            <w:pPr>
              <w:pStyle w:val="Compact"/>
            </w:pPr>
            <w:r>
              <w:t xml:space="preserve">Incident Herald —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POST /v1/webhooks/page</w:t>
            </w:r>
            <w:r>
              <w:t xml:space="preserve"> </w:t>
            </w:r>
            <w:r>
              <w:t xml:space="preserve">is a LIVE JWT-gated escalation handler (drives the bindings Pipeline → emits the escalation CloudEvent → 202 + Receipt; third-party pager egress is a follow-up subscriber)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docs/guides/IHERALD.md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</w:p>
        </w:tc>
        <w:tc>
          <w:tcPr/>
          <w:p>
            <w:pPr>
              <w:pStyle w:val="Compact"/>
            </w:pPr>
            <w:r>
              <w:t xml:space="preserve">Status-Check Herald — CLI-only</w:t>
            </w:r>
            <w:r>
              <w:t xml:space="preserve"> </w:t>
            </w:r>
            <w:r>
              <w:rPr>
                <w:rStyle w:val="VerbatimChar"/>
              </w:rPr>
              <w:t xml:space="preserve">status-digest</w:t>
            </w:r>
            <w:r>
              <w:t xml:space="preserve"> </w:t>
            </w:r>
            <w:r>
              <w:t xml:space="preserve">(§11.4.45 rollup)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docs/guides/SCHERALD.md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qaherald</w:t>
            </w:r>
          </w:p>
        </w:tc>
        <w:tc>
          <w:tcPr/>
          <w:p>
            <w:pPr>
              <w:pStyle w:val="Compact"/>
            </w:pPr>
            <w:r>
              <w:t xml:space="preserve">QA Herald — Herald's autonomous QA bot: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(scenario harness → docs/qa evidence),</w:t>
            </w:r>
            <w:r>
              <w:t xml:space="preserve"> </w:t>
            </w:r>
            <w:r>
              <w:rPr>
                <w:rStyle w:val="VerbatimChar"/>
              </w:rPr>
              <w:t xml:space="preserve">mtproto</w:t>
            </w:r>
            <w:r>
              <w:t xml:space="preserve"> </w:t>
            </w:r>
            <w:r>
              <w:t xml:space="preserve">session lifecycle (</w:t>
            </w:r>
            <w:r>
              <w:rPr>
                <w:rStyle w:val="VerbatimChar"/>
              </w:rPr>
              <w:t xml:space="preserve">login</w:t>
            </w:r>
            <w:r>
              <w:t xml:space="preserve">/</w:t>
            </w:r>
            <w:r>
              <w:rPr>
                <w:rStyle w:val="VerbatimChar"/>
              </w:rPr>
              <w:t xml:space="preserve">whoami</w:t>
            </w:r>
            <w:r>
              <w:t xml:space="preserve">/</w:t>
            </w:r>
            <w:r>
              <w:rPr>
                <w:rStyle w:val="VerbatimChar"/>
              </w:rPr>
              <w:t xml:space="preserve">logout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lifecycle</w:t>
            </w:r>
            <w:r>
              <w:t xml:space="preserve"> </w:t>
            </w:r>
            <w:r>
              <w:t xml:space="preserve">(15-scenario driver, SKELETON)</w:t>
            </w:r>
          </w:p>
        </w:tc>
        <w:tc>
          <w:tcPr/>
          <w:p>
            <w:pPr>
              <w:pStyle w:val="Compact"/>
            </w:pPr>
            <w:hyperlink r:id="rId56">
              <w:r>
                <w:rPr>
                  <w:rStyle w:val="VerbatimChar"/>
                </w:rPr>
                <w:t xml:space="preserve">docs/guides/QAHERALD.md</w:t>
              </w:r>
            </w:hyperlink>
          </w:p>
        </w:tc>
      </w:tr>
    </w:tbl>
    <w:bookmarkEnd w:id="57"/>
    <w:bookmarkStart w:id="61" w:name="credentials-master-guide"/>
    <w:p>
      <w:pPr>
        <w:pStyle w:val="Heading3"/>
      </w:pPr>
      <w:r>
        <w:t xml:space="preserve">Credentials master guide</w:t>
      </w:r>
    </w:p>
    <w:p>
      <w:pPr>
        <w:pStyle w:val="FirstParagraph"/>
      </w:pPr>
      <w:hyperlink r:id="rId58">
        <w:r>
          <w:rPr>
            <w:rStyle w:val="VerbatimChar"/>
          </w:rPr>
          <w:t xml:space="preserve">docs/guides/OPERATOR_CREDENTIALS.md</w:t>
        </w:r>
      </w:hyperlink>
      <w:r>
        <w:t xml:space="preserve"> </w:t>
      </w:r>
      <w:r>
        <w:t xml:space="preserve">is the umbrella reference covering:</w:t>
      </w:r>
    </w:p>
    <w:p>
      <w:pPr>
        <w:pStyle w:val="Compact"/>
        <w:numPr>
          <w:ilvl w:val="0"/>
          <w:numId w:val="1009"/>
        </w:numPr>
      </w:pPr>
      <w:r>
        <w:t xml:space="preserve">The 12-factor resolution order (CLI flag &gt; shell exports &gt;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&gt; defaults)</w:t>
      </w:r>
    </w:p>
    <w:p>
      <w:pPr>
        <w:pStyle w:val="Compact"/>
        <w:numPr>
          <w:ilvl w:val="0"/>
          <w:numId w:val="1009"/>
        </w:numPr>
      </w:pPr>
      <w:r>
        <w:t xml:space="preserve">How to set credentials via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(shell-export path) AND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(project-local path) — both supported per spec V3 §3.3</w:t>
      </w:r>
    </w:p>
    <w:p>
      <w:pPr>
        <w:pStyle w:val="Compact"/>
        <w:numPr>
          <w:ilvl w:val="0"/>
          <w:numId w:val="1009"/>
        </w:numPr>
      </w:pPr>
      <w:r>
        <w:t xml:space="preserve">Pre-commit secrets audit checklist (</w:t>
      </w:r>
      <w:r>
        <w:rPr>
          <w:rStyle w:val="VerbatimChar"/>
        </w:rPr>
        <w:t xml:space="preserve">.env</w:t>
      </w:r>
      <w:r>
        <w:t xml:space="preserve"> </w:t>
      </w:r>
      <w:r>
        <w:t xml:space="preserve">not tracked; no obvious-format secrets;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only has placeholders)</w:t>
      </w:r>
    </w:p>
    <w:p>
      <w:pPr>
        <w:pStyle w:val="Compact"/>
        <w:numPr>
          <w:ilvl w:val="0"/>
          <w:numId w:val="1009"/>
        </w:numPr>
      </w:pPr>
      <w:r>
        <w:t xml:space="preserve">Quickstart-compose vs native pherald operating modes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HERALD_&lt;CHANNEL&gt;_OPERATOR_USERNAME</w:t>
      </w:r>
      <w:r>
        <w:t xml:space="preserve"> </w:t>
      </w:r>
      <w:r>
        <w:t xml:space="preserve">operator env var (e.g.</w:t>
      </w:r>
      <w:r>
        <w:t xml:space="preserve"> </w:t>
      </w:r>
      <w:r>
        <w:rPr>
          <w:rStyle w:val="VerbatimChar"/>
        </w:rPr>
        <w:t xml:space="preserve">HERALD_TGRAM_OPERATOR_USERNAME=@milos85vasic</w:t>
      </w:r>
      <w:r>
        <w:t xml:space="preserve">) that drives workable-item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/</w:t>
      </w:r>
      <w:r>
        <w:rPr>
          <w:rStyle w:val="VerbatimChar"/>
        </w:rPr>
        <w:t xml:space="preserve">assigned_to</w:t>
      </w:r>
      <w:r>
        <w:t xml:space="preserve"> </w:t>
      </w:r>
      <w:r>
        <w:t xml:space="preserve">attribution + notification @-tagging — authoritative contract</w:t>
      </w:r>
      <w:r>
        <w:t xml:space="preserve"> </w:t>
      </w:r>
      <w:hyperlink r:id="rId59">
        <w:r>
          <w:rPr>
            <w:rStyle w:val="VerbatimChar"/>
          </w:rPr>
          <w:t xml:space="preserve">docs/design/PARTICIPANT_ATTRIBUTION.md</w:t>
        </w:r>
      </w:hyperlink>
      <w:r>
        <w:t xml:space="preserve">, full behaviour in</w:t>
      </w:r>
      <w:r>
        <w:t xml:space="preserve"> </w:t>
      </w:r>
      <w:hyperlink r:id="rId60">
        <w:r>
          <w:rPr>
            <w:rStyle w:val="VerbatimChar"/>
          </w:rPr>
          <w:t xml:space="preserve">docs/guides/WORKABLE_ITEMS_INTEGRATION.md</w:t>
        </w:r>
      </w:hyperlink>
      <w:r>
        <w:t xml:space="preserve"> </w:t>
      </w:r>
      <w:r>
        <w:t xml:space="preserve">§3.6–§3.8</w:t>
      </w:r>
    </w:p>
    <w:p>
      <w:pPr>
        <w:pStyle w:val="Compact"/>
        <w:numPr>
          <w:ilvl w:val="0"/>
          <w:numId w:val="1009"/>
        </w:numPr>
      </w:pPr>
      <w:r>
        <w:t xml:space="preserve">Troubleshooting (SQLSTATE 28P01, "DSN not set", SKIP-with-reason logic per §11.4.3, …)</w:t>
      </w:r>
    </w:p>
    <w:p>
      <w:pPr>
        <w:pStyle w:val="FirstParagraph"/>
      </w:pPr>
      <w:r>
        <w:t xml:space="preserve">Per Universal Constitution §11.4.10:</w:t>
      </w:r>
      <w: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files MUST NEVER be committed</w:t>
      </w:r>
      <w:r>
        <w:t xml:space="preserve">. The repo's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already covers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The committed</w:t>
      </w:r>
      <w:r>
        <w:t xml:space="preserve"> </w:t>
      </w:r>
      <w:r>
        <w:rPr>
          <w:rStyle w:val="VerbatimChar"/>
        </w:rPr>
        <w:t xml:space="preserve">quickstart/.env.example</w:t>
      </w:r>
      <w:r>
        <w:t xml:space="preserve"> </w:t>
      </w:r>
      <w:r>
        <w:t xml:space="preserve">is the only credentials-file that lives in git, and it contains only placeholder values.</w:t>
      </w:r>
    </w:p>
    <w:bookmarkEnd w:id="61"/>
    <w:bookmarkStart w:id="64" w:name="X2d57ec4c52902418777a57d1b6587fe0de5df6e"/>
    <w:p>
      <w:pPr>
        <w:pStyle w:val="Heading3"/>
      </w:pPr>
      <w:r>
        <w:t xml:space="preserve">Active blockers — operator action required</w:t>
      </w:r>
    </w:p>
    <w:p>
      <w:pPr>
        <w:pStyle w:val="FirstParagraph"/>
      </w:pPr>
      <w:hyperlink r:id="rId62">
        <w:r>
          <w:rPr>
            <w:rStyle w:val="VerbatimChar"/>
          </w:rPr>
          <w:t xml:space="preserve">docs/requirements/blockers/missing_env_variables.md</w:t>
        </w:r>
      </w:hyperlink>
      <w:r>
        <w:t xml:space="preserve"> </w:t>
      </w:r>
      <w:r>
        <w:t xml:space="preserve">— the step-by-step MTProto credential setup the operator must complete to unblock Wave 8 Track B (the full-automation rewrite of</w:t>
      </w:r>
      <w:r>
        <w:t xml:space="preserve"> </w:t>
      </w:r>
      <w:r>
        <w:rPr>
          <w:rStyle w:val="VerbatimChar"/>
        </w:rPr>
        <w:t xml:space="preserve">TestSubscribe_LiveBotAPI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tests/test_wave6_live_loop.sh</w:t>
      </w:r>
      <w:r>
        <w:t xml:space="preserve">, and Wave 6.5 lifecycle scenarios per HelixConstitution §11.4.98 + Herald §108.m). Available in Markdown / HTML / PDF / DOCX.</w:t>
      </w:r>
      <w:r>
        <w:t xml:space="preserve"> </w:t>
      </w:r>
      <w:r>
        <w:rPr>
          <w:b/>
          <w:bCs/>
        </w:rPr>
        <w:t xml:space="preserve">Required for §11.4.98 compliance — release-gate item.</w:t>
      </w:r>
    </w:p>
    <w:p>
      <w:pPr>
        <w:pStyle w:val="BodyText"/>
      </w:pPr>
      <w:hyperlink r:id="rId63">
        <w:r>
          <w:rPr>
            <w:rStyle w:val="VerbatimChar"/>
          </w:rPr>
          <w:t xml:space="preserve">docs/audits/full-automation-114-98-audit-2026-05-28.md</w:t>
        </w:r>
      </w:hyperlink>
      <w:r>
        <w:t xml:space="preserve"> </w:t>
      </w:r>
      <w:r>
        <w:t xml:space="preserve">— the canonical classification of every Herald test against §11.4.98 (794 tests audited: 758 COMPLIANT-hermetic, 32 COMPLIANT-with-creds-bootstrap, 4 NON-COMPLIANT-manual-dep, 1 STRUCTURALLY-BROKEN). NON-COMPLIANT items have until 2026-06-27 (T+30 days) to be rewritten before graduating to §11.4.90 Obsolete.</w:t>
      </w:r>
    </w:p>
    <w:bookmarkEnd w:id="64"/>
    <w:bookmarkEnd w:id="65"/>
    <w:bookmarkStart w:id="66" w:name="mirror--push-convention"/>
    <w:p>
      <w:pPr>
        <w:pStyle w:val="Heading2"/>
      </w:pPr>
      <w:r>
        <w:t xml:space="preserve">Mirror &amp; push convention</w:t>
      </w:r>
    </w:p>
    <w:p>
      <w:pPr>
        <w:pStyle w:val="FirstParagraph"/>
      </w:pPr>
      <w:r>
        <w:t xml:space="preserve">Herald is mirrored to four hosts. The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remote is</w:t>
      </w:r>
      <w:r>
        <w:t xml:space="preserve"> </w:t>
      </w:r>
      <w:r>
        <w:rPr>
          <w:b/>
          <w:bCs/>
        </w:rPr>
        <w:t xml:space="preserve">fan-out</w:t>
      </w:r>
      <w:r>
        <w:t xml:space="preserve">: one fetch URL + four push URLs. A single</w:t>
      </w:r>
      <w:r>
        <w:t xml:space="preserve"> </w:t>
      </w:r>
      <w:r>
        <w:rPr>
          <w:rStyle w:val="VerbatimChar"/>
        </w:rPr>
        <w:t xml:space="preserve">git push origin main</w:t>
      </w:r>
      <w:r>
        <w:t xml:space="preserve"> </w:t>
      </w:r>
      <w:r>
        <w:t xml:space="preserve">propagates to every mirror in one operation.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Remote name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git@github.com:vasic-digital/Herald.git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git@gitlab.com:vasic-digital/herald.git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gitflic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git@gitflic.ru:vasic-digital/herald.git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gitverse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git@gitverse.ru:vasic-digital/Herald.git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(fetch from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; push fans out to all four)</w:t>
            </w:r>
          </w:p>
        </w:tc>
      </w:tr>
    </w:tbl>
    <w:p>
      <w:pPr>
        <w:pStyle w:val="BodyText"/>
      </w:pPr>
      <w:r>
        <w:t xml:space="preserve">Each entry under</w:t>
      </w:r>
      <w:r>
        <w:t xml:space="preserve"> </w:t>
      </w:r>
      <w:r>
        <w:rPr>
          <w:rStyle w:val="VerbatimChar"/>
        </w:rPr>
        <w:t xml:space="preserve">upstreams/</w:t>
      </w:r>
      <w:r>
        <w:t xml:space="preserve"> </w:t>
      </w:r>
      <w:r>
        <w:t xml:space="preserve">is a shell script that exports a single</w:t>
      </w:r>
      <w:r>
        <w:t xml:space="preserve"> </w:t>
      </w:r>
      <w:r>
        <w:rPr>
          <w:rStyle w:val="VerbatimChar"/>
        </w:rPr>
        <w:t xml:space="preserve">UPSTREAMABLE_REPOSITORY=…</w:t>
      </w:r>
      <w:r>
        <w:t xml:space="preserve"> </w:t>
      </w:r>
      <w:r>
        <w:t xml:space="preserve">URL and is meant to be</w:t>
      </w:r>
      <w:r>
        <w:t xml:space="preserve"> </w:t>
      </w:r>
      <w:r>
        <w:rPr>
          <w:b/>
          <w:bCs/>
        </w:rPr>
        <w:t xml:space="preserve">sourced</w:t>
      </w:r>
      <w:r>
        <w:t xml:space="preserve">, not executed for its output. Capitalization matches each host's brand (GitFlic, GitVerse); do not normalize to lowercase or collapse into one file — external mirror-push tooling keys on the per-file split.</w:t>
      </w:r>
    </w:p>
    <w:p>
      <w:pPr>
        <w:pStyle w:val="BodyText"/>
      </w:pPr>
      <w:r>
        <w:t xml:space="preserve">If you ever need to rebuild the fan-out configuration, the constitution submodule ships</w:t>
      </w:r>
      <w:r>
        <w:t xml:space="preserve"> </w:t>
      </w:r>
      <w:r>
        <w:rPr>
          <w:rStyle w:val="VerbatimChar"/>
        </w:rPr>
        <w:t xml:space="preserve">install_upstreams.sh</w:t>
      </w:r>
      <w:r>
        <w:t xml:space="preserve"> </w:t>
      </w:r>
      <w:r>
        <w:t xml:space="preserve">that consumes</w:t>
      </w:r>
      <w:r>
        <w:t xml:space="preserve"> </w:t>
      </w:r>
      <w:r>
        <w:rPr>
          <w:rStyle w:val="VerbatimChar"/>
        </w:rPr>
        <w:t xml:space="preserve">Upstreams/*.sh</w:t>
      </w:r>
      <w:r>
        <w:t xml:space="preserve"> </w:t>
      </w:r>
      <w:r>
        <w:t xml:space="preserve">declarations and configures git remotes accordingly; the same pattern can be adapted for Herald.</w:t>
      </w:r>
    </w:p>
    <w:bookmarkEnd w:id="66"/>
    <w:bookmarkStart w:id="68" w:name="license"/>
    <w:p>
      <w:pPr>
        <w:pStyle w:val="Heading2"/>
      </w:pPr>
      <w:r>
        <w:t xml:space="preserve">License</w:t>
      </w:r>
    </w:p>
    <w:p>
      <w:pPr>
        <w:pStyle w:val="FirstParagraph"/>
      </w:pPr>
      <w:hyperlink r:id="rId67">
        <w:r>
          <w:rPr>
            <w:rStyle w:val="VerbatimChar"/>
          </w:rPr>
          <w:t xml:space="preserve">LICENSE</w:t>
        </w:r>
      </w:hyperlink>
      <w:r>
        <w:t xml:space="preserve"> </w:t>
      </w:r>
      <w:r>
        <w:t xml:space="preserve">— see file for terms.</w:t>
      </w:r>
    </w:p>
    <w:bookmarkEnd w:id="68"/>
    <w:bookmarkStart w:id="69" w:name="contact--contribution"/>
    <w:p>
      <w:pPr>
        <w:pStyle w:val="Heading2"/>
      </w:pPr>
      <w:r>
        <w:t xml:space="preserve">Contact / contribution</w:t>
      </w:r>
    </w:p>
    <w:p>
      <w:pPr>
        <w:pStyle w:val="FirstParagraph"/>
      </w:pPr>
      <w:r>
        <w:t xml:space="preserve">Substantive contributions land via PRs on GitHub; mirrors are read-only for external consumers. Inheritance rules and the gate apply to every PR.</w:t>
      </w:r>
    </w:p>
    <w:p>
      <w:r>
        <w:pict>
          <v:rect style="width:0;height:1.5pt" o:hralign="center" o:hrstd="t" o:hr="t"/>
        </w:pict>
      </w:r>
    </w:p>
    <w:bookmarkEnd w:id="69"/>
    <w:bookmarkStart w:id="73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Per HelixConstitution §11.4.99 + Herald §108.n (Latest-Source Documentation Cross-Reference Mandate). This README is a gateway document — the substantive operator-facing instructions live in the per-channel / per-dispatcher guides linked above. Each linked guide carries its own</w:t>
      </w:r>
      <w:r>
        <w:t xml:space="preserve"> </w:t>
      </w:r>
      <w:r>
        <w:rPr>
          <w:rStyle w:val="VerbatimChar"/>
        </w:rPr>
        <w:t xml:space="preserve">## Sources verified</w:t>
      </w:r>
      <w:r>
        <w:t xml:space="preserve"> </w:t>
      </w:r>
      <w:r>
        <w:t xml:space="preserve">footer covering the external services it documents. The cross-references below cover the external claims this README makes directly.</w:t>
      </w:r>
    </w:p>
    <w:p>
      <w:pPr>
        <w:pStyle w:val="BodyText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2026-05-28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URL / path</w:t>
            </w:r>
          </w:p>
        </w:tc>
        <w:tc>
          <w:tcPr/>
          <w:p>
            <w:pPr>
              <w:pStyle w:val="Compact"/>
            </w:pPr>
            <w:r>
              <w:t xml:space="preserve">Authored /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HelixConstitution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https://github.com/HelixDevelopment/HelixConstitution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§"Governance" (constitution authority + canonical URL); §"Quickstart" step 1 (clone-alongside command); §"Inherited invariants" list (§11.4 anti-bluff, §1.1 paired mutations, §11.4.6 no-guessing language, §11.4.10 credentials-never-tracked, §2.1 multi-upstream push, §9 hardlinked-backup).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official Bot API documentation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https://core.telegram.org/bots/api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§"Messengers" table — Telegram channel status (LIVE — HRD-011 + HRD-100). The substantive setup steps are in</w:t>
            </w:r>
            <w:r>
              <w:t xml:space="preserve"> </w:t>
            </w:r>
            <w:hyperlink r:id="rId32">
              <w:r>
                <w:rPr>
                  <w:rStyle w:val="VerbatimChar"/>
                </w:rPr>
                <w:t xml:space="preserve">docs/guides/messengers/TELEGRAM.md</w:t>
              </w:r>
            </w:hyperlink>
            <w:r>
              <w:t xml:space="preserve"> </w:t>
            </w:r>
            <w:r>
              <w:t xml:space="preserve">+</w:t>
            </w:r>
            <w:r>
              <w:t xml:space="preserve"> </w:t>
            </w:r>
            <w:hyperlink r:id="rId71">
              <w:r>
                <w:rPr>
                  <w:rStyle w:val="VerbatimChar"/>
                </w:rPr>
                <w:t xml:space="preserve">docs/guides/TELEGRAM.md</w:t>
              </w:r>
            </w:hyperlink>
            <w:r>
              <w:t xml:space="preserve"> </w:t>
            </w:r>
            <w:r>
              <w:t xml:space="preserve">which carry their own §11.4.99 footers.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— Claude Code documentation</w:t>
            </w:r>
          </w:p>
        </w:tc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https://docs.anthropic.com/claude-code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§"LLM / agent dispatchers" table — Claude Code status (LIVE — HRD-012 Fixed). The substantive setup steps are in</w:t>
            </w:r>
            <w:r>
              <w:t xml:space="preserve"> </w:t>
            </w:r>
            <w:hyperlink r:id="rId42">
              <w:r>
                <w:rPr>
                  <w:rStyle w:val="VerbatimChar"/>
                </w:rPr>
                <w:t xml:space="preserve">docs/guides/dispatchers/CLAUDE_CODE.md</w:t>
              </w:r>
            </w:hyperlink>
            <w:r>
              <w:t xml:space="preserve"> </w:t>
            </w:r>
            <w:r>
              <w:t xml:space="preserve">which carries its own §11.4.99 footer.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Herald active blockers — MTProto credential setup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docs/requirements/blockers/missing_env_variables.md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§"Active blockers" link target — that document carries the canonical Telegram-userbot safety walkthrough (the</w:t>
            </w:r>
            <w:r>
              <w:t xml:space="preserve"> </w:t>
            </w:r>
            <w:r>
              <w:rPr>
                <w:rStyle w:val="VerbatimChar"/>
              </w:rPr>
              <w:t xml:space="preserve">recover@telegram.org</w:t>
            </w:r>
            <w:r>
              <w:t xml:space="preserve"> </w:t>
            </w:r>
            <w:r>
              <w:t xml:space="preserve">pre-login email; no VoIP / Google Voice / Twilio / TextNow numbers; one phone = one</w:t>
            </w:r>
            <w:r>
              <w:t xml:space="preserve"> </w:t>
            </w:r>
            <w:r>
              <w:rPr>
                <w:rStyle w:val="VerbatimChar"/>
              </w:rPr>
              <w:t xml:space="preserve">api_id</w:t>
            </w:r>
            <w:r>
              <w:t xml:space="preserve"> </w:t>
            </w:r>
            <w:r>
              <w:t xml:space="preserve">forever; Short-name STRICTLY alphanumeric — underscores REJECTED; ratelimit + floodwait middlewares) with its own §11.4.99 footer.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Herald spec V3 (source of truth)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VerbatimChar"/>
                </w:rPr>
                <w:t xml:space="preserve">docs/specs/mvp/specification.V4.md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§"Status" claims about Herald implementation maturity; §"Mission" canonical statement; §"Repository layout"; the V1→V2→V3 supersession chain. The spec itself carries its own §11.4.99 footer covering the external service contracts its design decisions depend 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Re-verification cadence (per §11.4.99 (C)):</w:t>
      </w:r>
      <w:r>
        <w:t xml:space="preserve"> </w:t>
      </w:r>
      <w:r>
        <w:t xml:space="preserve">This README does not contain operator-actionable external-service instructions directly — those are in the linked guides, each with its own cadence. README-level re-verification is</w:t>
      </w:r>
      <w:r>
        <w:t xml:space="preserve"> </w:t>
      </w:r>
      <w:r>
        <w:rPr>
          <w:b/>
          <w:bCs/>
        </w:rPr>
        <w:t xml:space="preserve">on Herald structural changes</w:t>
      </w:r>
      <w:r>
        <w:t xml:space="preserve"> </w:t>
      </w:r>
      <w:r>
        <w:t xml:space="preserve">(repo-layout changes, new flavors, new mirror hosts, new linked guides) — no time-bound staleness. Linked guides MUST be kept current per their own footers.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AGENTS.md" TargetMode="External" /><Relationship Type="http://schemas.openxmlformats.org/officeDocument/2006/relationships/hyperlink" Id="rId26" Target="CLAUDE.md" TargetMode="External" /><Relationship Type="http://schemas.openxmlformats.org/officeDocument/2006/relationships/hyperlink" Id="rId67" Target="LICENSE" TargetMode="External" /><Relationship Type="http://schemas.openxmlformats.org/officeDocument/2006/relationships/hyperlink" Id="rId63" Target="docs/audits/full-automation-114-98-audit-2026-05-28.md" TargetMode="External" /><Relationship Type="http://schemas.openxmlformats.org/officeDocument/2006/relationships/hyperlink" Id="rId30" Target="docs/design/INTENT_RECOGNITION.md" TargetMode="External" /><Relationship Type="http://schemas.openxmlformats.org/officeDocument/2006/relationships/hyperlink" Id="rId59" Target="docs/design/PARTICIPANT_ATTRIBUTION.md" TargetMode="External" /><Relationship Type="http://schemas.openxmlformats.org/officeDocument/2006/relationships/hyperlink" Id="rId12" Target="docs/guides/" TargetMode="External" /><Relationship Type="http://schemas.openxmlformats.org/officeDocument/2006/relationships/hyperlink" Id="rId52" Target="docs/guides/BHERALD.md" TargetMode="External" /><Relationship Type="http://schemas.openxmlformats.org/officeDocument/2006/relationships/hyperlink" Id="rId51" Target="docs/guides/CHERALD.md" TargetMode="External" /><Relationship Type="http://schemas.openxmlformats.org/officeDocument/2006/relationships/hyperlink" Id="rId17" Target="docs/guides/CONSTITUTION_INHERITANCE.md" TargetMode="External" /><Relationship Type="http://schemas.openxmlformats.org/officeDocument/2006/relationships/hyperlink" Id="rId20" Target="docs/guides/HERALD_CONSTITUTION.md" TargetMode="External" /><Relationship Type="http://schemas.openxmlformats.org/officeDocument/2006/relationships/hyperlink" Id="rId23" Target="docs/guides/HERALD_CONSTITUTION.md#&#167;104-no-embedded-constitution-extends-universal-&#167;3" TargetMode="External" /><Relationship Type="http://schemas.openxmlformats.org/officeDocument/2006/relationships/hyperlink" Id="rId54" Target="docs/guides/IHERALD.md" TargetMode="External" /><Relationship Type="http://schemas.openxmlformats.org/officeDocument/2006/relationships/hyperlink" Id="rId31" Target="docs/guides/MESSENGER_CHANNELS.md" TargetMode="External" /><Relationship Type="http://schemas.openxmlformats.org/officeDocument/2006/relationships/hyperlink" Id="rId58" Target="docs/guides/OPERATOR_CREDENTIALS.md" TargetMode="External" /><Relationship Type="http://schemas.openxmlformats.org/officeDocument/2006/relationships/hyperlink" Id="rId49" Target="docs/guides/PHERALD.md" TargetMode="External" /><Relationship Type="http://schemas.openxmlformats.org/officeDocument/2006/relationships/hyperlink" Id="rId56" Target="docs/guides/QAHERALD.md" TargetMode="External" /><Relationship Type="http://schemas.openxmlformats.org/officeDocument/2006/relationships/hyperlink" Id="rId53" Target="docs/guides/RHERALD.md" TargetMode="External" /><Relationship Type="http://schemas.openxmlformats.org/officeDocument/2006/relationships/hyperlink" Id="rId55" Target="docs/guides/SCHERALD.md" TargetMode="External" /><Relationship Type="http://schemas.openxmlformats.org/officeDocument/2006/relationships/hyperlink" Id="rId50" Target="docs/guides/SHERALD.md" TargetMode="External" /><Relationship Type="http://schemas.openxmlformats.org/officeDocument/2006/relationships/hyperlink" Id="rId71" Target="docs/guides/TELEGRAM.md" TargetMode="External" /><Relationship Type="http://schemas.openxmlformats.org/officeDocument/2006/relationships/hyperlink" Id="rId60" Target="docs/guides/WORKABLE_ITEMS_INTEGRATION.md" TargetMode="External" /><Relationship Type="http://schemas.openxmlformats.org/officeDocument/2006/relationships/hyperlink" Id="rId44" Target="docs/guides/dispatchers/AIDER.md" TargetMode="External" /><Relationship Type="http://schemas.openxmlformats.org/officeDocument/2006/relationships/hyperlink" Id="rId47" Target="docs/guides/dispatchers/ANTHROPIC.md" TargetMode="External" /><Relationship Type="http://schemas.openxmlformats.org/officeDocument/2006/relationships/hyperlink" Id="rId42" Target="docs/guides/dispatchers/CLAUDE_CODE.md" TargetMode="External" /><Relationship Type="http://schemas.openxmlformats.org/officeDocument/2006/relationships/hyperlink" Id="rId46" Target="docs/guides/dispatchers/CURSOR.md" TargetMode="External" /><Relationship Type="http://schemas.openxmlformats.org/officeDocument/2006/relationships/hyperlink" Id="rId45" Target="docs/guides/dispatchers/GEMINI.md" TargetMode="External" /><Relationship Type="http://schemas.openxmlformats.org/officeDocument/2006/relationships/hyperlink" Id="rId43" Target="docs/guides/dispatchers/OPENCODE.md" TargetMode="External" /><Relationship Type="http://schemas.openxmlformats.org/officeDocument/2006/relationships/hyperlink" Id="rId38" Target="docs/guides/messengers/DISCORD.md" TargetMode="External" /><Relationship Type="http://schemas.openxmlformats.org/officeDocument/2006/relationships/hyperlink" Id="rId34" Target="docs/guides/messengers/EMAIL.md" TargetMode="External" /><Relationship Type="http://schemas.openxmlformats.org/officeDocument/2006/relationships/hyperlink" Id="rId37" Target="docs/guides/messengers/LARK.md" TargetMode="External" /><Relationship Type="http://schemas.openxmlformats.org/officeDocument/2006/relationships/hyperlink" Id="rId35" Target="docs/guides/messengers/MAX.md" TargetMode="External" /><Relationship Type="http://schemas.openxmlformats.org/officeDocument/2006/relationships/hyperlink" Id="rId33" Target="docs/guides/messengers/SLACK.md" TargetMode="External" /><Relationship Type="http://schemas.openxmlformats.org/officeDocument/2006/relationships/hyperlink" Id="rId36" Target="docs/guides/messengers/TEAMS.md" TargetMode="External" /><Relationship Type="http://schemas.openxmlformats.org/officeDocument/2006/relationships/hyperlink" Id="rId32" Target="docs/guides/messengers/TELEGRAM.md" TargetMode="External" /><Relationship Type="http://schemas.openxmlformats.org/officeDocument/2006/relationships/hyperlink" Id="rId40" Target="docs/guides/messengers/VIBER.md" TargetMode="External" /><Relationship Type="http://schemas.openxmlformats.org/officeDocument/2006/relationships/hyperlink" Id="rId39" Target="docs/guides/messengers/WHATSAPP.md" TargetMode="External" /><Relationship Type="http://schemas.openxmlformats.org/officeDocument/2006/relationships/hyperlink" Id="rId62" Target="docs/requirements/blockers/missing_env_variables.md" TargetMode="External" /><Relationship Type="http://schemas.openxmlformats.org/officeDocument/2006/relationships/hyperlink" Id="rId11" Target="docs/specs/mvp/archive/" TargetMode="External" /><Relationship Type="http://schemas.openxmlformats.org/officeDocument/2006/relationships/hyperlink" Id="rId10" Target="docs/specs/mvp/specification.V4.md" TargetMode="External" /><Relationship Type="http://schemas.openxmlformats.org/officeDocument/2006/relationships/hyperlink" Id="rId70" Target="https://core.telegram.org/bots/api" TargetMode="External" /><Relationship Type="http://schemas.openxmlformats.org/officeDocument/2006/relationships/hyperlink" Id="rId72" Target="https://docs.anthropic.com/claude-code" TargetMode="External" /><Relationship Type="http://schemas.openxmlformats.org/officeDocument/2006/relationships/hyperlink" Id="rId19" Target="https://github.com/HelixDevelopment/HelixConstitution" TargetMode="External" /><Relationship Type="http://schemas.openxmlformats.org/officeDocument/2006/relationships/hyperlink" Id="rId14" Target="tests/" TargetMode="External" /><Relationship Type="http://schemas.openxmlformats.org/officeDocument/2006/relationships/hyperlink" Id="rId13" Target="upstream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AGENTS.md" TargetMode="External" /><Relationship Type="http://schemas.openxmlformats.org/officeDocument/2006/relationships/hyperlink" Id="rId26" Target="CLAUDE.md" TargetMode="External" /><Relationship Type="http://schemas.openxmlformats.org/officeDocument/2006/relationships/hyperlink" Id="rId67" Target="LICENSE" TargetMode="External" /><Relationship Type="http://schemas.openxmlformats.org/officeDocument/2006/relationships/hyperlink" Id="rId63" Target="docs/audits/full-automation-114-98-audit-2026-05-28.md" TargetMode="External" /><Relationship Type="http://schemas.openxmlformats.org/officeDocument/2006/relationships/hyperlink" Id="rId30" Target="docs/design/INTENT_RECOGNITION.md" TargetMode="External" /><Relationship Type="http://schemas.openxmlformats.org/officeDocument/2006/relationships/hyperlink" Id="rId59" Target="docs/design/PARTICIPANT_ATTRIBUTION.md" TargetMode="External" /><Relationship Type="http://schemas.openxmlformats.org/officeDocument/2006/relationships/hyperlink" Id="rId12" Target="docs/guides/" TargetMode="External" /><Relationship Type="http://schemas.openxmlformats.org/officeDocument/2006/relationships/hyperlink" Id="rId52" Target="docs/guides/BHERALD.md" TargetMode="External" /><Relationship Type="http://schemas.openxmlformats.org/officeDocument/2006/relationships/hyperlink" Id="rId51" Target="docs/guides/CHERALD.md" TargetMode="External" /><Relationship Type="http://schemas.openxmlformats.org/officeDocument/2006/relationships/hyperlink" Id="rId17" Target="docs/guides/CONSTITUTION_INHERITANCE.md" TargetMode="External" /><Relationship Type="http://schemas.openxmlformats.org/officeDocument/2006/relationships/hyperlink" Id="rId20" Target="docs/guides/HERALD_CONSTITUTION.md" TargetMode="External" /><Relationship Type="http://schemas.openxmlformats.org/officeDocument/2006/relationships/hyperlink" Id="rId23" Target="docs/guides/HERALD_CONSTITUTION.md#&#167;104-no-embedded-constitution-extends-universal-&#167;3" TargetMode="External" /><Relationship Type="http://schemas.openxmlformats.org/officeDocument/2006/relationships/hyperlink" Id="rId54" Target="docs/guides/IHERALD.md" TargetMode="External" /><Relationship Type="http://schemas.openxmlformats.org/officeDocument/2006/relationships/hyperlink" Id="rId31" Target="docs/guides/MESSENGER_CHANNELS.md" TargetMode="External" /><Relationship Type="http://schemas.openxmlformats.org/officeDocument/2006/relationships/hyperlink" Id="rId58" Target="docs/guides/OPERATOR_CREDENTIALS.md" TargetMode="External" /><Relationship Type="http://schemas.openxmlformats.org/officeDocument/2006/relationships/hyperlink" Id="rId49" Target="docs/guides/PHERALD.md" TargetMode="External" /><Relationship Type="http://schemas.openxmlformats.org/officeDocument/2006/relationships/hyperlink" Id="rId56" Target="docs/guides/QAHERALD.md" TargetMode="External" /><Relationship Type="http://schemas.openxmlformats.org/officeDocument/2006/relationships/hyperlink" Id="rId53" Target="docs/guides/RHERALD.md" TargetMode="External" /><Relationship Type="http://schemas.openxmlformats.org/officeDocument/2006/relationships/hyperlink" Id="rId55" Target="docs/guides/SCHERALD.md" TargetMode="External" /><Relationship Type="http://schemas.openxmlformats.org/officeDocument/2006/relationships/hyperlink" Id="rId50" Target="docs/guides/SHERALD.md" TargetMode="External" /><Relationship Type="http://schemas.openxmlformats.org/officeDocument/2006/relationships/hyperlink" Id="rId71" Target="docs/guides/TELEGRAM.md" TargetMode="External" /><Relationship Type="http://schemas.openxmlformats.org/officeDocument/2006/relationships/hyperlink" Id="rId60" Target="docs/guides/WORKABLE_ITEMS_INTEGRATION.md" TargetMode="External" /><Relationship Type="http://schemas.openxmlformats.org/officeDocument/2006/relationships/hyperlink" Id="rId44" Target="docs/guides/dispatchers/AIDER.md" TargetMode="External" /><Relationship Type="http://schemas.openxmlformats.org/officeDocument/2006/relationships/hyperlink" Id="rId47" Target="docs/guides/dispatchers/ANTHROPIC.md" TargetMode="External" /><Relationship Type="http://schemas.openxmlformats.org/officeDocument/2006/relationships/hyperlink" Id="rId42" Target="docs/guides/dispatchers/CLAUDE_CODE.md" TargetMode="External" /><Relationship Type="http://schemas.openxmlformats.org/officeDocument/2006/relationships/hyperlink" Id="rId46" Target="docs/guides/dispatchers/CURSOR.md" TargetMode="External" /><Relationship Type="http://schemas.openxmlformats.org/officeDocument/2006/relationships/hyperlink" Id="rId45" Target="docs/guides/dispatchers/GEMINI.md" TargetMode="External" /><Relationship Type="http://schemas.openxmlformats.org/officeDocument/2006/relationships/hyperlink" Id="rId43" Target="docs/guides/dispatchers/OPENCODE.md" TargetMode="External" /><Relationship Type="http://schemas.openxmlformats.org/officeDocument/2006/relationships/hyperlink" Id="rId38" Target="docs/guides/messengers/DISCORD.md" TargetMode="External" /><Relationship Type="http://schemas.openxmlformats.org/officeDocument/2006/relationships/hyperlink" Id="rId34" Target="docs/guides/messengers/EMAIL.md" TargetMode="External" /><Relationship Type="http://schemas.openxmlformats.org/officeDocument/2006/relationships/hyperlink" Id="rId37" Target="docs/guides/messengers/LARK.md" TargetMode="External" /><Relationship Type="http://schemas.openxmlformats.org/officeDocument/2006/relationships/hyperlink" Id="rId35" Target="docs/guides/messengers/MAX.md" TargetMode="External" /><Relationship Type="http://schemas.openxmlformats.org/officeDocument/2006/relationships/hyperlink" Id="rId33" Target="docs/guides/messengers/SLACK.md" TargetMode="External" /><Relationship Type="http://schemas.openxmlformats.org/officeDocument/2006/relationships/hyperlink" Id="rId36" Target="docs/guides/messengers/TEAMS.md" TargetMode="External" /><Relationship Type="http://schemas.openxmlformats.org/officeDocument/2006/relationships/hyperlink" Id="rId32" Target="docs/guides/messengers/TELEGRAM.md" TargetMode="External" /><Relationship Type="http://schemas.openxmlformats.org/officeDocument/2006/relationships/hyperlink" Id="rId40" Target="docs/guides/messengers/VIBER.md" TargetMode="External" /><Relationship Type="http://schemas.openxmlformats.org/officeDocument/2006/relationships/hyperlink" Id="rId39" Target="docs/guides/messengers/WHATSAPP.md" TargetMode="External" /><Relationship Type="http://schemas.openxmlformats.org/officeDocument/2006/relationships/hyperlink" Id="rId62" Target="docs/requirements/blockers/missing_env_variables.md" TargetMode="External" /><Relationship Type="http://schemas.openxmlformats.org/officeDocument/2006/relationships/hyperlink" Id="rId11" Target="docs/specs/mvp/archive/" TargetMode="External" /><Relationship Type="http://schemas.openxmlformats.org/officeDocument/2006/relationships/hyperlink" Id="rId10" Target="docs/specs/mvp/specification.V4.md" TargetMode="External" /><Relationship Type="http://schemas.openxmlformats.org/officeDocument/2006/relationships/hyperlink" Id="rId70" Target="https://core.telegram.org/bots/api" TargetMode="External" /><Relationship Type="http://schemas.openxmlformats.org/officeDocument/2006/relationships/hyperlink" Id="rId72" Target="https://docs.anthropic.com/claude-code" TargetMode="External" /><Relationship Type="http://schemas.openxmlformats.org/officeDocument/2006/relationships/hyperlink" Id="rId19" Target="https://github.com/HelixDevelopment/HelixConstitution" TargetMode="External" /><Relationship Type="http://schemas.openxmlformats.org/officeDocument/2006/relationships/hyperlink" Id="rId14" Target="tests/" TargetMode="External" /><Relationship Type="http://schemas.openxmlformats.org/officeDocument/2006/relationships/hyperlink" Id="rId13" Target="upstream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