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18" w:name="herald--bherald-flavor-guide-operator"/>
    <w:p>
      <w:pPr>
        <w:pStyle w:val="Heading1"/>
      </w:pPr>
      <w:r>
        <w:t xml:space="preserve">Herald —</w:t>
      </w:r>
      <w:r>
        <w:t xml:space="preserve"> </w:t>
      </w:r>
      <w:r>
        <w:rPr>
          <w:rStyle w:val="VerbatimChar"/>
        </w:rPr>
        <w:t xml:space="preserve">bherald</w:t>
      </w:r>
      <w:r>
        <w:t xml:space="preserve"> </w:t>
      </w:r>
      <w:r>
        <w:t xml:space="preserve">Flavor Guide (Operator)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Nano-detail operator reference for</w:t>
            </w:r>
            <w:r>
              <w:t xml:space="preserve"> </w:t>
            </w:r>
            <w:r>
              <w:rPr>
                <w:rStyle w:val="VerbatimChar"/>
              </w:rPr>
              <w:t xml:space="preserve">bherald</w:t>
            </w:r>
            <w:r>
              <w:t xml:space="preserve"> </w:t>
            </w:r>
            <w:r>
              <w:t xml:space="preserve">(Build Herald) — a CLI-only flavor (no HTTP serve mode; DefaultPort=0) for CI/test gates. Documents</w:t>
            </w:r>
            <w:r>
              <w:t xml:space="preserve"> </w:t>
            </w:r>
            <w:r>
              <w:rPr>
                <w:rStyle w:val="VerbatimChar"/>
              </w:rPr>
              <w:t xml:space="preserve">evidence-capture</w:t>
            </w:r>
            <w:r>
              <w:t xml:space="preserve"> </w:t>
            </w:r>
            <w:r>
              <w:t xml:space="preserve">(§11.4.2 anti-bluff evidence requirement),</w:t>
            </w:r>
            <w:r>
              <w:t xml:space="preserve"> </w:t>
            </w:r>
            <w:r>
              <w:rPr>
                <w:rStyle w:val="VerbatimChar"/>
              </w:rPr>
              <w:t xml:space="preserve">test-tier-verify</w:t>
            </w:r>
            <w:r>
              <w:t xml:space="preserve"> </w:t>
            </w:r>
            <w:r>
              <w:t xml:space="preserve">(§40.2 8-tier matrix per §11.4.27), the not-yet-implemented</w:t>
            </w:r>
            <w:r>
              <w:t xml:space="preserve"> </w:t>
            </w:r>
            <w:r>
              <w:rPr>
                <w:rStyle w:val="VerbatimChar"/>
              </w:rPr>
              <w:t xml:space="preserve">gate-retest</w:t>
            </w:r>
            <w:r>
              <w:t xml:space="preserve"> </w:t>
            </w:r>
            <w:r>
              <w:t xml:space="preserve">(HRD-045), and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. ANTI-BLUFF: derived from the built</w:t>
            </w:r>
            <w:r>
              <w:t xml:space="preserve"> </w:t>
            </w:r>
            <w:r>
              <w:rPr>
                <w:rStyle w:val="VerbatimChar"/>
              </w:rPr>
              <w:t xml:space="preserve">bherald</w:t>
            </w:r>
            <w:r>
              <w:t xml:space="preserve"> </w:t>
            </w:r>
            <w:r>
              <w:t xml:space="preserve">binary (</w:t>
            </w:r>
            <w:r>
              <w:rPr>
                <w:rStyle w:val="VerbatimChar"/>
              </w:rPr>
              <w:t xml:space="preserve">bherald --help</w:t>
            </w:r>
            <w:r>
              <w:t xml:space="preserve">, per-subcommand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 --json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commons/branding.go</w:t>
            </w:r>
            <w:r>
              <w:t xml:space="preserve">. The gates are PURE classifiers — they observe recorded outcomes and exit non-zero on a breach; they never run the suites themselves.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(none specific to this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Bump when</w:t>
            </w:r>
            <w:r>
              <w:t xml:space="preserve"> </w:t>
            </w:r>
            <w:r>
              <w:rPr>
                <w:rStyle w:val="VerbatimChar"/>
              </w:rPr>
              <w:t xml:space="preserve">gate-retest</w:t>
            </w:r>
            <w:r>
              <w:t xml:space="preserve"> </w:t>
            </w:r>
            <w:r>
              <w:t xml:space="preserve">(HRD-045) lands.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9b5004686fc1b3fc46732aad91b59b41519c8e">
        <w:r>
          <w:rPr>
            <w:rStyle w:val="Hyperlink"/>
          </w:rPr>
          <w:t xml:space="preserve">§1. What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bherald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</w:t>
        </w:r>
      </w:hyperlink>
    </w:p>
    <w:p>
      <w:pPr>
        <w:pStyle w:val="Compact"/>
        <w:numPr>
          <w:ilvl w:val="0"/>
          <w:numId w:val="1001"/>
        </w:numPr>
      </w:pPr>
      <w:hyperlink w:anchor="Xbfa3324c3b40c8a9673e08bddf1d4fc81e7fbd0">
        <w:r>
          <w:rPr>
            <w:rStyle w:val="Hyperlink"/>
          </w:rPr>
          <w:t xml:space="preserve">§2. The subcommand surface</w:t>
        </w:r>
      </w:hyperlink>
    </w:p>
    <w:p>
      <w:pPr>
        <w:pStyle w:val="Compact"/>
        <w:numPr>
          <w:ilvl w:val="0"/>
          <w:numId w:val="1001"/>
        </w:numPr>
      </w:pPr>
      <w:hyperlink w:anchor="X450cd858fa10a68f86114de778fbcf6c8129252">
        <w:r>
          <w:rPr>
            <w:rStyle w:val="Hyperlink"/>
          </w:rPr>
          <w:t xml:space="preserve">§3.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version</w:t>
        </w:r>
      </w:hyperlink>
    </w:p>
    <w:p>
      <w:pPr>
        <w:pStyle w:val="Compact"/>
        <w:numPr>
          <w:ilvl w:val="0"/>
          <w:numId w:val="1001"/>
        </w:numPr>
      </w:pPr>
      <w:hyperlink w:anchor="X3e90155addcbdf36b9f5df6e70a9dc049d8f17e">
        <w:r>
          <w:rPr>
            <w:rStyle w:val="Hyperlink"/>
          </w:rPr>
          <w:t xml:space="preserve">§4.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evidence-capture</w:t>
        </w:r>
      </w:hyperlink>
    </w:p>
    <w:p>
      <w:pPr>
        <w:pStyle w:val="Compact"/>
        <w:numPr>
          <w:ilvl w:val="0"/>
          <w:numId w:val="1001"/>
        </w:numPr>
      </w:pPr>
      <w:hyperlink w:anchor="Xbe2581bf64c657b051a223a496c1a12ce703d36">
        <w:r>
          <w:rPr>
            <w:rStyle w:val="Hyperlink"/>
          </w:rPr>
          <w:t xml:space="preserve">§5.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test-tier-verify</w:t>
        </w:r>
      </w:hyperlink>
    </w:p>
    <w:p>
      <w:pPr>
        <w:pStyle w:val="Compact"/>
        <w:numPr>
          <w:ilvl w:val="0"/>
          <w:numId w:val="1001"/>
        </w:numPr>
      </w:pPr>
      <w:hyperlink w:anchor="X1bae29e26683696e9a9ddd9a32d0b907b652a9e">
        <w:r>
          <w:rPr>
            <w:rStyle w:val="Hyperlink"/>
          </w:rPr>
          <w:t xml:space="preserve">§6.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gate-retest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(not yet implemented)</w:t>
        </w:r>
      </w:hyperlink>
    </w:p>
    <w:p>
      <w:pPr>
        <w:pStyle w:val="Compact"/>
        <w:numPr>
          <w:ilvl w:val="0"/>
          <w:numId w:val="1001"/>
        </w:numPr>
      </w:pPr>
      <w:hyperlink w:anchor="Xef13cb770278a00c50e641ab9e7e8b454d3bc66">
        <w:r>
          <w:rPr>
            <w:rStyle w:val="Hyperlink"/>
          </w:rPr>
          <w:t xml:space="preserve">§7. 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f9b5004686fc1b3fc46732aad91b59b41519c8e"/>
    <w:p>
      <w:pPr>
        <w:pStyle w:val="Heading2"/>
      </w:pPr>
      <w:r>
        <w:t xml:space="preserve">§1. What</w:t>
      </w:r>
      <w:r>
        <w:t xml:space="preserve"> </w:t>
      </w:r>
      <w:r>
        <w:rPr>
          <w:rStyle w:val="VerbatimChar"/>
        </w:rPr>
        <w:t xml:space="preserve">bherald</w:t>
      </w:r>
      <w:r>
        <w:t xml:space="preserve"> </w:t>
      </w:r>
      <w:r>
        <w:t xml:space="preserve">is</w:t>
      </w:r>
    </w:p>
    <w:p>
      <w:pPr>
        <w:pStyle w:val="FirstParagraph"/>
      </w:pPr>
      <w:r>
        <w:rPr>
          <w:rStyle w:val="VerbatimChar"/>
        </w:rPr>
        <w:t xml:space="preserve">bherald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Build Herald</w:t>
      </w:r>
      <w:r>
        <w:t xml:space="preserve"> </w:t>
      </w:r>
      <w:r>
        <w:t xml:space="preserve">— flavor key</w:t>
      </w:r>
      <w:r>
        <w:t xml:space="preserve"> </w:t>
      </w:r>
      <w:r>
        <w:rPr>
          <w:rStyle w:val="VerbatimChar"/>
        </w:rPr>
        <w:t xml:space="preserve">b</w:t>
      </w:r>
      <w:r>
        <w:t xml:space="preserve">, prefix</w:t>
      </w:r>
      <w:r>
        <w:t xml:space="preserve"> </w:t>
      </w:r>
      <w:r>
        <w:rPr>
          <w:rStyle w:val="VerbatimChar"/>
        </w:rPr>
        <w:t xml:space="preserve">BHR</w:t>
      </w:r>
      <w:r>
        <w:t xml:space="preserve">,</w:t>
      </w:r>
      <w:r>
        <w:t xml:space="preserve"> </w:t>
      </w:r>
      <w:r>
        <w:rPr>
          <w:b/>
          <w:bCs/>
        </w:rPr>
        <w:t xml:space="preserve">CLI-only</w:t>
      </w:r>
      <w:r>
        <w:t xml:space="preserve"> </w:t>
      </w:r>
      <w:r>
        <w:t xml:space="preserve">(DefaultPort=0, no serve mode). Per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 </w:t>
      </w:r>
      <w:r>
        <w:t xml:space="preserve">its mission is "CI/test bindings + test-tier verifier + evidence capture". It is invoked from a CI pipeline to assert two anti-bluff properties at the build layer: that every PASS carries captured evidence (§11.4.2), and that a package covers the full §40.2 8-tier test matrix (§11.4.27). Both subcommands are</w:t>
      </w:r>
      <w:r>
        <w:t xml:space="preserve"> </w:t>
      </w:r>
      <w:r>
        <w:rPr>
          <w:b/>
          <w:bCs/>
        </w:rPr>
        <w:t xml:space="preserve">PURE</w:t>
      </w:r>
      <w:r>
        <w:t xml:space="preserve"> </w:t>
      </w:r>
      <w:r>
        <w:t xml:space="preserve">classifiers — they observe recorded state and exit non-zero on a breach; they never run the test suites.</w:t>
      </w:r>
    </w:p>
    <w:p>
      <w:pPr>
        <w:pStyle w:val="BodyText"/>
      </w:pPr>
      <w:r>
        <w:t xml:space="preserve">Build it: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/tmp/bherald ./bherald/cmd/bherald</w:t>
      </w:r>
    </w:p>
    <w:bookmarkEnd w:id="10"/>
    <w:bookmarkStart w:id="11" w:name="Xbfa3324c3b40c8a9673e08bddf1d4fc81e7fbd0"/>
    <w:p>
      <w:pPr>
        <w:pStyle w:val="Heading2"/>
      </w:pPr>
      <w:r>
        <w:t xml:space="preserve">§2. The subcommand surface</w:t>
      </w:r>
    </w:p>
    <w:p>
      <w:pPr>
        <w:pStyle w:val="FirstParagraph"/>
      </w:pPr>
      <w:r>
        <w:t xml:space="preserve">Verbatim from</w:t>
      </w:r>
      <w:r>
        <w:t xml:space="preserve"> </w:t>
      </w:r>
      <w:r>
        <w:rPr>
          <w:rStyle w:val="VerbatimChar"/>
        </w:rPr>
        <w:t xml:space="preserve">bherald --help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evidence-capture</w:t>
            </w:r>
          </w:p>
        </w:tc>
        <w:tc>
          <w:tcPr/>
          <w:p>
            <w:pPr>
              <w:pStyle w:val="Compact"/>
            </w:pPr>
            <w:r>
              <w:t xml:space="preserve">Validate a CI gate PASS carries a recorded evidence artefact (§11.4.2)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test-tier-verify</w:t>
            </w:r>
          </w:p>
        </w:tc>
        <w:tc>
          <w:tcPr/>
          <w:p>
            <w:pPr>
              <w:pStyle w:val="Compact"/>
            </w:pPr>
            <w:r>
              <w:t xml:space="preserve">Verify the §40.2 8-tier test matrix for a package (§11.4.27)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gate-retest</w:t>
            </w:r>
          </w:p>
        </w:tc>
        <w:tc>
          <w:tcPr/>
          <w:p>
            <w:pPr>
              <w:pStyle w:val="Compact"/>
            </w:pPr>
            <w:r>
              <w:t xml:space="preserve">Re-run composite gate post-fix per §11.4.38 (alias shared with</w:t>
            </w:r>
            <w:r>
              <w:t xml:space="preserve"> </w:t>
            </w:r>
            <w:r>
              <w:rPr>
                <w:rStyle w:val="VerbatimChar"/>
              </w:rPr>
              <w:t xml:space="preserve">rherald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yet implemented — HRD-045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Print Build Herald version + build info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completion</w:t>
            </w:r>
          </w:p>
        </w:tc>
        <w:tc>
          <w:tcPr/>
          <w:p>
            <w:pPr>
              <w:pStyle w:val="Compact"/>
            </w:pPr>
            <w:r>
              <w:t xml:space="preserve">Generate shell autocompletion (Cobra built-in)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</w:tbl>
    <w:bookmarkEnd w:id="11"/>
    <w:bookmarkStart w:id="12" w:name="X450cd858fa10a68f86114de778fbcf6c8129252"/>
    <w:p>
      <w:pPr>
        <w:pStyle w:val="Heading2"/>
      </w:pPr>
      <w:r>
        <w:t xml:space="preserve">§3.</w:t>
      </w:r>
      <w:r>
        <w:t xml:space="preserve"> </w:t>
      </w:r>
      <w:r>
        <w:rPr>
          <w:rStyle w:val="VerbatimChar"/>
        </w:rPr>
        <w:t xml:space="preserve">version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bherald version </w:t>
      </w:r>
      <w:r>
        <w:rPr>
          <w:rStyle w:val="AttributeTok"/>
        </w:rPr>
        <w:t xml:space="preserve">--json</w:t>
      </w:r>
      <w:r>
        <w:br/>
      </w:r>
      <w:r>
        <w:rPr>
          <w:rStyle w:val="DataTypeTok"/>
        </w:rPr>
        <w:t xml:space="preserve">{</w:t>
      </w:r>
      <w:r>
        <w:rPr>
          <w:rStyle w:val="StringTok"/>
        </w:rPr>
        <w:t xml:space="preserve">"arch"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"arm64"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"binary"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"bherald"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"build_time"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"commit"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"flavor"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"go_version"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"go1.26.2"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"os"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"darwin"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"version"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"0.0.0-dev"</w:t>
      </w:r>
      <w:r>
        <w:rPr>
          <w:rStyle w:val="DataTypeTok"/>
        </w:rPr>
        <w:t xml:space="preserve">}</w:t>
      </w:r>
    </w:p>
    <w:bookmarkEnd w:id="12"/>
    <w:bookmarkStart w:id="13" w:name="X3e90155addcbdf36b9f5df6e70a9dc049d8f17e"/>
    <w:p>
      <w:pPr>
        <w:pStyle w:val="Heading2"/>
      </w:pPr>
      <w:r>
        <w:t xml:space="preserve">§4.</w:t>
      </w:r>
      <w:r>
        <w:t xml:space="preserve"> </w:t>
      </w:r>
      <w:r>
        <w:rPr>
          <w:rStyle w:val="VerbatimChar"/>
        </w:rPr>
        <w:t xml:space="preserve">evidence-capture</w:t>
      </w:r>
    </w:p>
    <w:p>
      <w:pPr>
        <w:pStyle w:val="FirstParagraph"/>
      </w:pPr>
      <w:r>
        <w:t xml:space="preserve">Validates the §11.4.2 recorded-evidence requirement (the §107 anti-bluff covenant at the CI layer): a gate/test reporting</w:t>
      </w:r>
      <w:r>
        <w:t xml:space="preserve"> </w:t>
      </w:r>
      <w:r>
        <w:rPr>
          <w:rStyle w:val="VerbatimChar"/>
        </w:rPr>
        <w:t xml:space="preserve">outcome=pass</w:t>
      </w:r>
      <w:r>
        <w:t xml:space="preserve"> </w:t>
      </w:r>
      <w:r>
        <w:t xml:space="preserve">MUST carry a captured-evidence artefact. It observes the evidence state from</w:t>
      </w:r>
      <w:r>
        <w:t xml:space="preserve"> </w:t>
      </w:r>
      <w:r>
        <w:rPr>
          <w:rStyle w:val="VerbatimChar"/>
        </w:rPr>
        <w:t xml:space="preserve">--evidence-path</w:t>
      </w:r>
      <w:r>
        <w:t xml:space="preserve"> </w:t>
      </w:r>
      <w:r>
        <w:t xml:space="preserve">(a present, non-empty file/dir ⇒ evidence captured) or</w:t>
      </w:r>
      <w:r>
        <w:t xml:space="preserve"> </w:t>
      </w:r>
      <w:r>
        <w:rPr>
          <w:rStyle w:val="VerbatimChar"/>
        </w:rPr>
        <w:t xml:space="preserve">--has-evidence</w:t>
      </w:r>
      <w:r>
        <w:t xml:space="preserve">, classifies through the HRD-021 binding, and</w:t>
      </w:r>
      <w:r>
        <w:t xml:space="preserve"> </w:t>
      </w:r>
      <w:r>
        <w:rPr>
          <w:b/>
          <w:bCs/>
        </w:rPr>
        <w:t xml:space="preserve">exits non-zero on a metadata-only / no-evidence PASS-bluff</w:t>
      </w:r>
      <w:r>
        <w:t xml:space="preserve">. An honest FAIL passes the anti-bluff check (the gate correctly reported failure). PURE: it reads the recorded outcome + the presence of the artefact; it never inspects its bytes.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--outcome string</w:t>
            </w:r>
          </w:p>
        </w:tc>
        <w:tc>
          <w:tcPr/>
          <w:p>
            <w:pPr>
              <w:pStyle w:val="Compact"/>
            </w:pPr>
            <w:r>
              <w:t xml:space="preserve">The recorded gate outcome (</w:t>
            </w:r>
            <w:r>
              <w:rPr>
                <w:rStyle w:val="VerbatimChar"/>
              </w:rPr>
              <w:t xml:space="preserve">pass</w:t>
            </w:r>
            <w:r>
              <w:t xml:space="preserve">/</w:t>
            </w:r>
            <w:r>
              <w:rPr>
                <w:rStyle w:val="VerbatimChar"/>
              </w:rPr>
              <w:t xml:space="preserve">fail</w:t>
            </w:r>
            <w:r>
              <w:t xml:space="preserve">/</w:t>
            </w:r>
            <w:r>
              <w:rPr>
                <w:rStyle w:val="VerbatimChar"/>
              </w:rPr>
              <w:t xml:space="preserve">error</w:t>
            </w:r>
            <w:r>
              <w:t xml:space="preserve">) (default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--evidence-path string</w:t>
            </w:r>
          </w:p>
        </w:tc>
        <w:tc>
          <w:tcPr/>
          <w:p>
            <w:pPr>
              <w:pStyle w:val="Compact"/>
            </w:pPr>
            <w:r>
              <w:t xml:space="preserve">Path to the captured-evidence artefact (present + non-empty ⇒ satisfied)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--has-evidence</w:t>
            </w:r>
          </w:p>
        </w:tc>
        <w:tc>
          <w:tcPr/>
          <w:p>
            <w:pPr>
              <w:pStyle w:val="Compact"/>
            </w:pPr>
            <w:r>
              <w:t xml:space="preserve">Assert a captured-evidence artefact exists (test seam / operator override)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--test-id string</w:t>
            </w:r>
          </w:p>
        </w:tc>
        <w:tc>
          <w:tcPr/>
          <w:p>
            <w:pPr>
              <w:pStyle w:val="Compact"/>
            </w:pPr>
            <w:r>
              <w:t xml:space="preserve">Test/gate identifier recorded in the §11.4.2 Subject (default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--emit</w:t>
            </w:r>
          </w:p>
        </w:tc>
        <w:tc>
          <w:tcPr/>
          <w:p>
            <w:pPr>
              <w:pStyle w:val="Compact"/>
            </w:pPr>
            <w:r>
              <w:t xml:space="preserve">Also drive the §11.4.2 verdict as a real constitution event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bherald</w:t>
      </w:r>
      <w:r>
        <w:rPr>
          <w:rStyle w:val="NormalTok"/>
        </w:rPr>
        <w:t xml:space="preserve"> evidence-capture </w:t>
      </w:r>
      <w:r>
        <w:rPr>
          <w:rStyle w:val="AttributeTok"/>
        </w:rPr>
        <w:t xml:space="preserve">--outcome</w:t>
      </w:r>
      <w:r>
        <w:rPr>
          <w:rStyle w:val="NormalTok"/>
        </w:rPr>
        <w:t xml:space="preserve"> pass </w:t>
      </w:r>
      <w:r>
        <w:rPr>
          <w:rStyle w:val="AttributeTok"/>
        </w:rPr>
        <w:t xml:space="preserve">--evidence-path</w:t>
      </w:r>
      <w:r>
        <w:rPr>
          <w:rStyle w:val="NormalTok"/>
        </w:rPr>
        <w:t xml:space="preserve"> docs/qa/HRD-100/transcript.jsonl </w:t>
      </w:r>
      <w:r>
        <w:rPr>
          <w:rStyle w:val="AttributeTok"/>
        </w:rPr>
        <w:t xml:space="preserve">--test-id</w:t>
      </w:r>
      <w:r>
        <w:rPr>
          <w:rStyle w:val="NormalTok"/>
        </w:rPr>
        <w:t xml:space="preserve"> HRD-100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"PASS-BLUFF"</w:t>
      </w:r>
    </w:p>
    <w:bookmarkEnd w:id="13"/>
    <w:bookmarkStart w:id="14" w:name="Xbe2581bf64c657b051a223a496c1a12ce703d36"/>
    <w:p>
      <w:pPr>
        <w:pStyle w:val="Heading2"/>
      </w:pPr>
      <w:r>
        <w:t xml:space="preserve">§5.</w:t>
      </w:r>
      <w:r>
        <w:t xml:space="preserve"> </w:t>
      </w:r>
      <w:r>
        <w:rPr>
          <w:rStyle w:val="VerbatimChar"/>
        </w:rPr>
        <w:t xml:space="preserve">test-tier-verify</w:t>
      </w:r>
    </w:p>
    <w:p>
      <w:pPr>
        <w:pStyle w:val="FirstParagraph"/>
      </w:pPr>
      <w:r>
        <w:t xml:space="preserve">Verifies a package carries every tier of the §40.2 canonical 8-tier test matrix (</w:t>
      </w:r>
      <w:r>
        <w:rPr>
          <w:rStyle w:val="VerbatimChar"/>
        </w:rPr>
        <w:t xml:space="preserve">unit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integration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contract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e2e_sandbox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e2e_live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mutation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chaos</w:t>
      </w:r>
      <w:r>
        <w:t xml:space="preserve">) per §11.4.27 (no-fakes-beyond-unit + 100% test-type coverage). It observes the present tiers from</w:t>
      </w:r>
      <w:r>
        <w:t xml:space="preserve"> </w:t>
      </w:r>
      <w:r>
        <w:rPr>
          <w:rStyle w:val="VerbatimChar"/>
        </w:rPr>
        <w:t xml:space="preserve">--tier</w:t>
      </w:r>
      <w:r>
        <w:t xml:space="preserve"> </w:t>
      </w:r>
      <w:r>
        <w:t xml:space="preserve">(repeatable),</w:t>
      </w:r>
      <w:r>
        <w:t xml:space="preserve"> </w:t>
      </w:r>
      <w:r>
        <w:rPr>
          <w:rStyle w:val="VerbatimChar"/>
        </w:rPr>
        <w:t xml:space="preserve">--tiers-file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--all-tiers</w:t>
      </w:r>
      <w:r>
        <w:t xml:space="preserve">, and</w:t>
      </w:r>
      <w:r>
        <w:t xml:space="preserve"> </w:t>
      </w:r>
      <w:r>
        <w:rPr>
          <w:b/>
          <w:bCs/>
        </w:rPr>
        <w:t xml:space="preserve">exits non-zero when any canonical tier is missing</w:t>
      </w:r>
      <w:r>
        <w:t xml:space="preserve"> </w:t>
      </w:r>
      <w:r>
        <w:t xml:space="preserve">— blocking the promotion. PURE: it classifies the recorded tier coverage; it never runs the suites.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--tier strings</w:t>
            </w:r>
          </w:p>
        </w:tc>
        <w:tc>
          <w:tcPr/>
          <w:p>
            <w:pPr>
              <w:pStyle w:val="Compact"/>
            </w:pPr>
            <w:r>
              <w:t xml:space="preserve">A present test tier (repeatable / comma-separated) from the 8-tier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--tiers-file string</w:t>
            </w:r>
          </w:p>
        </w:tc>
        <w:tc>
          <w:tcPr/>
          <w:p>
            <w:pPr>
              <w:pStyle w:val="Compact"/>
            </w:pPr>
            <w:r>
              <w:t xml:space="preserve">File listing present tiers (one per line;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comments allowed)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--all-tiers</w:t>
            </w:r>
          </w:p>
        </w:tc>
        <w:tc>
          <w:tcPr/>
          <w:p>
            <w:pPr>
              <w:pStyle w:val="Compact"/>
            </w:pPr>
            <w:r>
              <w:t xml:space="preserve">Assert the full §40.2 8-tier matrix is present (test seam / operator override)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--pkg string</w:t>
            </w:r>
          </w:p>
        </w:tc>
        <w:tc>
          <w:tcPr/>
          <w:p>
            <w:pPr>
              <w:pStyle w:val="Compact"/>
            </w:pPr>
            <w:r>
              <w:t xml:space="preserve">Package label recorded in the §11.4.27 Subject (default</w:t>
            </w:r>
            <w:r>
              <w:t xml:space="preserve"> </w:t>
            </w:r>
            <w:r>
              <w:rPr>
                <w:rStyle w:val="VerbatimChar"/>
              </w:rPr>
              <w:t xml:space="preserve">pkg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--emit</w:t>
            </w:r>
          </w:p>
        </w:tc>
        <w:tc>
          <w:tcPr/>
          <w:p>
            <w:pPr>
              <w:pStyle w:val="Compact"/>
            </w:pPr>
            <w:r>
              <w:t xml:space="preserve">Also drive the §11.4.27 verdict as a real constitution event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bherald</w:t>
      </w:r>
      <w:r>
        <w:rPr>
          <w:rStyle w:val="NormalTok"/>
        </w:rPr>
        <w:t xml:space="preserve"> test-tier-verify </w:t>
      </w:r>
      <w:r>
        <w:rPr>
          <w:rStyle w:val="AttributeTok"/>
        </w:rPr>
        <w:t xml:space="preserve">--pkg</w:t>
      </w:r>
      <w:r>
        <w:rPr>
          <w:rStyle w:val="NormalTok"/>
        </w:rPr>
        <w:t xml:space="preserve"> commons_messaging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--tier</w:t>
      </w:r>
      <w:r>
        <w:rPr>
          <w:rStyle w:val="NormalTok"/>
        </w:rPr>
        <w:t xml:space="preserve"> unit,component,integration,contract,e2e_sandbox,e2e_live,mutation,chaos</w:t>
      </w:r>
    </w:p>
    <w:bookmarkEnd w:id="14"/>
    <w:bookmarkStart w:id="15" w:name="X1bae29e26683696e9a9ddd9a32d0b907b652a9e"/>
    <w:p>
      <w:pPr>
        <w:pStyle w:val="Heading2"/>
      </w:pPr>
      <w:r>
        <w:t xml:space="preserve">§6.</w:t>
      </w:r>
      <w:r>
        <w:t xml:space="preserve"> </w:t>
      </w:r>
      <w:r>
        <w:rPr>
          <w:rStyle w:val="VerbatimChar"/>
        </w:rPr>
        <w:t xml:space="preserve">gate-retest</w:t>
      </w:r>
      <w:r>
        <w:t xml:space="preserve"> </w:t>
      </w:r>
      <w:r>
        <w:t xml:space="preserve">(not yet implemented)</w:t>
      </w:r>
    </w:p>
    <w:p>
      <w:pPr>
        <w:pStyle w:val="FirstParagraph"/>
      </w:pPr>
      <w:r>
        <w:rPr>
          <w:rStyle w:val="VerbatimChar"/>
        </w:rPr>
        <w:t xml:space="preserve">bherald gate-retest</w:t>
      </w:r>
      <w:r>
        <w:t xml:space="preserve"> </w:t>
      </w:r>
      <w:r>
        <w:t xml:space="preserve">is present in the command tree but its help line reads "(not yet implemented — HRD-045)". It is an alias shared with</w:t>
      </w:r>
      <w:r>
        <w:t xml:space="preserve"> </w:t>
      </w:r>
      <w:r>
        <w:rPr>
          <w:rStyle w:val="VerbatimChar"/>
        </w:rPr>
        <w:t xml:space="preserve">rherald gate-retest</w:t>
      </w:r>
      <w:r>
        <w:t xml:space="preserve">; on</w:t>
      </w:r>
      <w:r>
        <w:t xml:space="preserve"> </w:t>
      </w:r>
      <w:r>
        <w:rPr>
          <w:rStyle w:val="VerbatimChar"/>
        </w:rPr>
        <w:t xml:space="preserve">rherald</w:t>
      </w:r>
      <w:r>
        <w:t xml:space="preserve"> </w:t>
      </w:r>
      <w:r>
        <w:t xml:space="preserve">it is live (see</w:t>
      </w:r>
      <w:r>
        <w:t xml:space="preserve"> </w:t>
      </w:r>
      <w:r>
        <w:rPr>
          <w:rStyle w:val="VerbatimChar"/>
        </w:rPr>
        <w:t xml:space="preserve">docs/guides/RHERALD.md</w:t>
      </w:r>
      <w:r>
        <w:t xml:space="preserve"> </w:t>
      </w:r>
      <w:r>
        <w:t xml:space="preserve">§6), but the</w:t>
      </w:r>
      <w:r>
        <w:t xml:space="preserve"> </w:t>
      </w:r>
      <w:r>
        <w:rPr>
          <w:rStyle w:val="VerbatimChar"/>
        </w:rPr>
        <w:t xml:space="preserve">bherald</w:t>
      </w:r>
      <w:r>
        <w:t xml:space="preserve">-side body is open work under HRD-045. Do not script against</w:t>
      </w:r>
      <w:r>
        <w:t xml:space="preserve"> </w:t>
      </w:r>
      <w:r>
        <w:rPr>
          <w:rStyle w:val="VerbatimChar"/>
        </w:rPr>
        <w:t xml:space="preserve">bherald gate-retest</w:t>
      </w:r>
      <w:r>
        <w:t xml:space="preserve"> </w:t>
      </w:r>
      <w:r>
        <w:t xml:space="preserve">yet.</w:t>
      </w:r>
    </w:p>
    <w:bookmarkEnd w:id="15"/>
    <w:bookmarkStart w:id="16" w:name="Xef13cb770278a00c50e641ab9e7e8b454d3bc66"/>
    <w:p>
      <w:pPr>
        <w:pStyle w:val="Heading2"/>
      </w:pPr>
      <w:r>
        <w:t xml:space="preserve">§7. References</w:t>
      </w:r>
    </w:p>
    <w:p>
      <w:pPr>
        <w:pStyle w:val="Compact"/>
        <w:numPr>
          <w:ilvl w:val="0"/>
          <w:numId w:val="1002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bherald/cmd/bherald/main.go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build_cmds.go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Branding: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 </w:t>
      </w:r>
      <w:r>
        <w:t xml:space="preserve">(flavor</w:t>
      </w:r>
      <w:r>
        <w:t xml:space="preserve"> </w:t>
      </w:r>
      <w:r>
        <w:rPr>
          <w:rStyle w:val="VerbatimChar"/>
        </w:rPr>
        <w:t xml:space="preserve">b</w:t>
      </w:r>
      <w:r>
        <w:t xml:space="preserve">, DefaultPort=0).</w:t>
      </w:r>
    </w:p>
    <w:p>
      <w:pPr>
        <w:pStyle w:val="Compact"/>
        <w:numPr>
          <w:ilvl w:val="0"/>
          <w:numId w:val="1002"/>
        </w:numPr>
      </w:pPr>
      <w:r>
        <w:t xml:space="preserve">Constitution bindings: HRD-021 §11.4.2 / §11.4.27; §40.2 8-tier matrix; HRD-045 (</w:t>
      </w:r>
      <w:r>
        <w:rPr>
          <w:rStyle w:val="VerbatimChar"/>
        </w:rPr>
        <w:t xml:space="preserve">gate-retest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Companion flavor guides:</w:t>
      </w:r>
      <w:r>
        <w:t xml:space="preserve"> </w:t>
      </w:r>
      <w:r>
        <w:rPr>
          <w:rStyle w:val="VerbatimChar"/>
        </w:rPr>
        <w:t xml:space="preserve">docs/guides/{PHERALD,SHERALD,CHERALD,RHERALD,IHERALD,SCHERALD,QAHERALD}.md</w:t>
      </w:r>
      <w:r>
        <w:t xml:space="preserve">.</w:t>
      </w:r>
    </w:p>
    <w:bookmarkEnd w:id="16"/>
    <w:bookmarkStart w:id="17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rPr>
          <w:b/>
          <w:bCs/>
        </w:rPr>
        <w:t xml:space="preserve">Verified 2026-05-30:</w:t>
      </w:r>
      <w:r>
        <w:t xml:space="preserve"> </w:t>
      </w:r>
      <w:r>
        <w:t xml:space="preserve">internal doc — no external online sources. Every subcommand, flag, default, and live-vs-stub claim above was derived by running the built</w:t>
      </w:r>
      <w:r>
        <w:t xml:space="preserve"> </w:t>
      </w:r>
      <w:r>
        <w:rPr>
          <w:rStyle w:val="VerbatimChar"/>
        </w:rPr>
        <w:t xml:space="preserve">bherald</w:t>
      </w:r>
      <w:r>
        <w:t xml:space="preserve"> </w:t>
      </w:r>
      <w:r>
        <w:t xml:space="preserve">binary (</w:t>
      </w:r>
      <w:r>
        <w:rPr>
          <w:rStyle w:val="VerbatimChar"/>
        </w:rPr>
        <w:t xml:space="preserve">bherald --help</w:t>
      </w:r>
      <w:r>
        <w:t xml:space="preserve">;</w:t>
      </w:r>
      <w:r>
        <w:t xml:space="preserve"> </w:t>
      </w:r>
      <w:r>
        <w:rPr>
          <w:rStyle w:val="VerbatimChar"/>
        </w:rPr>
        <w:t xml:space="preserve">bherald evidence-capture|test-tier-verify|gate-retest --help</w:t>
      </w:r>
      <w:r>
        <w:t xml:space="preserve">;</w:t>
      </w:r>
      <w:r>
        <w:t xml:space="preserve"> </w:t>
      </w:r>
      <w:r>
        <w:rPr>
          <w:rStyle w:val="VerbatimChar"/>
        </w:rPr>
        <w:t xml:space="preserve">bherald version --json</w:t>
      </w:r>
      <w:r>
        <w:t xml:space="preserve">) and reading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 </w:t>
      </w:r>
      <w:r>
        <w:t xml:space="preserve">on 2026-05-30. The</w:t>
      </w:r>
      <w:r>
        <w:t xml:space="preserve"> </w:t>
      </w:r>
      <w:r>
        <w:rPr>
          <w:rStyle w:val="VerbatimChar"/>
        </w:rPr>
        <w:t xml:space="preserve">gate-retest</w:t>
      </w:r>
      <w:r>
        <w:t xml:space="preserve"> </w:t>
      </w:r>
      <w:r>
        <w:t xml:space="preserve">not-yet-implemented status is quoted verbatim from the binary's own help line. No flags were invented. Re-verify whenever the</w:t>
      </w:r>
      <w:r>
        <w:t xml:space="preserve"> </w:t>
      </w:r>
      <w:r>
        <w:rPr>
          <w:rStyle w:val="VerbatimChar"/>
        </w:rPr>
        <w:t xml:space="preserve">bherald</w:t>
      </w:r>
      <w:r>
        <w:t xml:space="preserve"> </w:t>
      </w:r>
      <w:r>
        <w:t xml:space="preserve">Cobra surface changes (notably when HRD-045 lands).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