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13" w:name="herald--opencode-dispatcher-setup-guide"/>
    <w:p>
      <w:pPr>
        <w:pStyle w:val="Heading1"/>
      </w:pPr>
      <w:r>
        <w:t xml:space="preserve">Herald — OpenCode Dispatcher Setup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</w:t>
            </w:r>
            <w:r>
              <w:t xml:space="preserve"> </w:t>
            </w:r>
            <w:r>
              <w:t xml:space="preserve">— HRD-NNN (planned)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 ref</w:t>
            </w:r>
          </w:p>
        </w:tc>
        <w:tc>
          <w:tcPr/>
          <w:p>
            <w:pPr>
              <w:pStyle w:val="Compact"/>
            </w:pPr>
            <w:r>
              <w:t xml:space="preserve">V3 §33 (pluggable Dispatcher)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 vars (reserved)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HERALD_OPENCODE_BIN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HERALD_OPENCODE_PROJECT_NAME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HERALD_OPENCODE_SESSION_UUID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(not yet implemented)</w:t>
            </w:r>
          </w:p>
        </w:tc>
      </w:tr>
    </w:tbl>
    <w:p>
      <w:pPr>
        <w:pStyle w:val="BodyText"/>
      </w:pPr>
      <w:r>
        <w:t xml:space="preserve">OpenCode is an Anthropic-API-compatible local CLI agent. Planned for V2/V3 — uses the same session+envelope pattern as Claude Code.</w:t>
      </w:r>
    </w:p>
    <w:p>
      <w:pPr>
        <w:pStyle w:val="BodyText"/>
      </w:pPr>
      <w:r>
        <w:t xml:space="preserve">This guide is a</w:t>
      </w:r>
      <w:r>
        <w:t xml:space="preserve"> </w:t>
      </w:r>
      <w:r>
        <w:rPr>
          <w:b/>
          <w:bCs/>
        </w:rPr>
        <w:t xml:space="preserve">placeholder</w:t>
      </w:r>
      <w:r>
        <w:t xml:space="preserve">. When the OpenCode dispatcher lands as an HRD, this file will expand to the same step-by-step structure as</w:t>
      </w:r>
      <w:r>
        <w:t xml:space="preserve"> </w:t>
      </w:r>
      <w:hyperlink r:id="rId9">
        <w:r>
          <w:rPr>
            <w:rStyle w:val="VerbatimChar"/>
          </w:rPr>
          <w:t xml:space="preserve">CLAUDE_CODE.md</w:t>
        </w:r>
      </w:hyperlink>
      <w:r>
        <w:t xml:space="preserve">: install the CLI/SDK → set env vars → verify session resolution → verify Dispatch round-trip → troubleshooting.</w:t>
      </w:r>
    </w:p>
    <w:bookmarkStart w:id="11" w:name="what-you-can-do-now"/>
    <w:p>
      <w:pPr>
        <w:pStyle w:val="Heading2"/>
      </w:pPr>
      <w:r>
        <w:t xml:space="preserve">What you can do now</w:t>
      </w:r>
    </w:p>
    <w:p>
      <w:pPr>
        <w:pStyle w:val="Compact"/>
        <w:numPr>
          <w:ilvl w:val="0"/>
          <w:numId w:val="1001"/>
        </w:numPr>
      </w:pPr>
      <w:r>
        <w:t xml:space="preserve">Reserve the env-var names in your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per</w:t>
      </w:r>
      <w:r>
        <w:t xml:space="preserve"> </w:t>
      </w:r>
      <w:hyperlink r:id="rId10">
        <w:r>
          <w:rPr>
            <w:rStyle w:val="VerbatimChar"/>
          </w:rPr>
          <w:t xml:space="preserve">../OPERATOR_CREDENTIALS.md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Dispatcher</w:t>
      </w:r>
      <w:r>
        <w:t xml:space="preserve"> </w:t>
      </w:r>
      <w:r>
        <w:t xml:space="preserve">interface in</w:t>
      </w:r>
      <w:r>
        <w:t xml:space="preserve"> </w:t>
      </w:r>
      <w:r>
        <w:rPr>
          <w:rStyle w:val="VerbatimChar"/>
        </w:rPr>
        <w:t xml:space="preserve">commons_messaging/dispatch/</w:t>
      </w:r>
      <w:r>
        <w:t xml:space="preserve"> </w:t>
      </w:r>
      <w:r>
        <w:t xml:space="preserve">is the seam every new dispatcher implements — see the Claude Code implementation as the reference shape.</w:t>
      </w:r>
    </w:p>
    <w:bookmarkEnd w:id="11"/>
    <w:bookmarkStart w:id="12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VerbatimChar"/>
          </w:rPr>
          <w:t xml:space="preserve">OPERATOR_CREDENTIALS.md</w:t>
        </w:r>
      </w:hyperlink>
      <w:r>
        <w:t xml:space="preserve"> </w:t>
      </w:r>
      <w:r>
        <w:t xml:space="preserve">§"Alternate LLM dispatchers"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VerbatimChar"/>
          </w:rPr>
          <w:t xml:space="preserve">CLAUDE_CODE.md</w:t>
        </w:r>
      </w:hyperlink>
      <w:r>
        <w:t xml:space="preserve"> </w:t>
      </w:r>
      <w:r>
        <w:t xml:space="preserve">— canonical live-dispatcher guide shape</w:t>
      </w:r>
    </w:p>
    <w:p>
      <w:pPr>
        <w:pStyle w:val="Compact"/>
        <w:numPr>
          <w:ilvl w:val="0"/>
          <w:numId w:val="1002"/>
        </w:numPr>
      </w:pPr>
      <w:r>
        <w:t xml:space="preserve">Spec: V3 §33 (pluggable Dispatcher)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OPERATOR_CREDENTIALS.md" TargetMode="External" /><Relationship Type="http://schemas.openxmlformats.org/officeDocument/2006/relationships/hyperlink" Id="rId9" Target="CLAUDE_CO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OPERATOR_CREDENTIALS.md" TargetMode="External" /><Relationship Type="http://schemas.openxmlformats.org/officeDocument/2006/relationships/hyperlink" Id="rId9" Target="CLAUDE_CO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