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slack-channel-setup-guide"/>
    <w:p>
      <w:pPr>
        <w:pStyle w:val="Heading1"/>
      </w:pPr>
      <w:r>
        <w:t xml:space="preserve">Herald — Slack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§11.2 + §11.9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HERALD_SLACK_BOT_TOKEN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HERALD_SLACK_SIGNING_SECRET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HERALD_SLACK_APP_TOKEN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HERALD_SLACK_DEFAULT_CHANNEL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Slack is planned for V2. The adapter will support both Events API (HTTPS webhooks) and Socket Mode (WebSocket — useful for hosts without inbound HTTPS). Channels are addressed by ID (not name) since Slack channels are renamable while IDs are stable.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Slack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Slack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Slack lands)</w:t>
      </w:r>
    </w:p>
    <w:p>
      <w:pPr>
        <w:pStyle w:val="Compact"/>
        <w:numPr>
          <w:ilvl w:val="0"/>
          <w:numId w:val="1002"/>
        </w:numPr>
      </w:pPr>
      <w:r>
        <w:t xml:space="preserve">Spec: V3 §11.2 + §11.9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