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35" w:name="X0f84fb713d35de9e735a71ed6da3ff87dfd1f88"/>
    <w:p>
      <w:pPr>
        <w:pStyle w:val="Heading1"/>
      </w:pPr>
      <w:r>
        <w:t xml:space="preserve">Protocol Research: Agent Communication Protocol (IBM ACP) — and why Herald adopts A2A instead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— DOCUMENTING-WHY-REJECTED-AS-STANDALONE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IBM's Agent Communication Protocol (ACP) launched May 2025 as a peer to A2A + MCP. On 2025-08-27, the i-am-bee/acp GitHub repository was archived with the announcement: "ACP is now part of A2A under the Linux Foundation." ACP exists only as historical context; Herald should adopt A2A (see A2A.md) and reference this doc to explain why ACP is not adopted as a standalone protocol. The architectural lessons from ACP (Semantic Layer, JSON-LD ontology, capability tokens, OTLP-first observability) inform Herald's A2A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 — closed protocol; reference-only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n/a — this protocol is superseded. The lessons inform A2A.md (Wave 4b).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this document does NOT propose any tests because Herald does not implement ACP. Anti-bluff applies to the A2A adoption (see A2A.md 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n/a (not adopting).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 / branding</w:t>
      </w:r>
      <w:r>
        <w:t xml:space="preserve"> </w:t>
      </w:r>
      <w:r>
        <w:t xml:space="preserve">— tracked doc; regenerate siblings.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§106 spec-change</w:t>
      </w:r>
      <w:r>
        <w:t xml:space="preserve"> </w:t>
      </w:r>
      <w:r>
        <w:t xml:space="preserve">— no spec V3 amendment from this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964d65f7481a0820c100811850412e1fe6d7013">
        <w:r>
          <w:rPr>
            <w:rStyle w:val="Hyperlink"/>
          </w:rPr>
          <w:t xml:space="preserve">§3. The 2025-08-27 merger into A2A</w:t>
        </w:r>
      </w:hyperlink>
    </w:p>
    <w:p>
      <w:pPr>
        <w:pStyle w:val="Compact"/>
        <w:numPr>
          <w:ilvl w:val="0"/>
          <w:numId w:val="1002"/>
        </w:numPr>
      </w:pPr>
      <w:hyperlink w:anchor="Xca3b8084a1e741f360d3e4a9d90315d87e873e0">
        <w:r>
          <w:rPr>
            <w:rStyle w:val="Hyperlink"/>
          </w:rPr>
          <w:t xml:space="preserve">§4. Lessons Herald carries forward to A2A</w:t>
        </w:r>
      </w:hyperlink>
    </w:p>
    <w:p>
      <w:pPr>
        <w:pStyle w:val="Compact"/>
        <w:numPr>
          <w:ilvl w:val="0"/>
          <w:numId w:val="1002"/>
        </w:numPr>
      </w:pPr>
      <w:hyperlink w:anchor="X08b8ec700118f1788daaca097f7ffd561dbe7e3">
        <w:r>
          <w:rPr>
            <w:rStyle w:val="Hyperlink"/>
          </w:rPr>
          <w:t xml:space="preserve">§5. Why Herald does NOT implement ACP separately</w:t>
        </w:r>
      </w:hyperlink>
    </w:p>
    <w:p>
      <w:pPr>
        <w:pStyle w:val="Compact"/>
        <w:numPr>
          <w:ilvl w:val="0"/>
          <w:numId w:val="1002"/>
        </w:numPr>
      </w:pPr>
      <w:hyperlink w:anchor="X0bf27bd66b8c54b0d5c90c8a89809ea9206eaeb">
        <w:r>
          <w:rPr>
            <w:rStyle w:val="Hyperlink"/>
          </w:rPr>
          <w:t xml:space="preserve">§6. Historical references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ACP — Agent Communication Protocol</w:t>
      </w:r>
      <w:r>
        <w:t xml:space="preserve"> </w:t>
      </w:r>
      <w:r>
        <w:t xml:space="preserve">(sometimes "BeeAI ACP" to disambiguate from older usages). Launched by IBM in May 2025, a month after Google's A2A. Designed to standardize how AI agents communicate with each other and with infrastructure components, complementing MCP (which is "LLM ↔ tool") with an "agent ↔ agent" semantic vocabulary.</w:t>
      </w:r>
    </w:p>
    <w:p>
      <w:pPr>
        <w:pStyle w:val="BodyText"/>
      </w:pPr>
      <w:r>
        <w:rPr>
          <w:b/>
          <w:bCs/>
        </w:rPr>
        <w:t xml:space="preserve">Wire format and architecture.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Transport:</w:t>
      </w:r>
      <w:r>
        <w:t xml:space="preserve"> </w:t>
      </w:r>
      <w:r>
        <w:t xml:space="preserve">HTTP/REST-based, with Server-Sent Events for streaming. Some sources describe it as JSON-RPC over HTTP/WebSockets; the canonical i-am-bee/acp repo uses OpenAPI 3.0 — REST endpoints — with JSON request/response bodies.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Brokered architecture:</w:t>
      </w:r>
      <w:r>
        <w:t xml:space="preserve"> </w:t>
      </w:r>
      <w:r>
        <w:t xml:space="preserve">three roles — Agent Clients, ACP Servers (registries), ACP Agents.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Semantic Layer:</w:t>
      </w:r>
      <w:r>
        <w:t xml:space="preserve"> </w:t>
      </w:r>
      <w:r>
        <w:t xml:space="preserve">a "JSON-LD ontology of intent" defining universal verbs (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NEGOTIATE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Multipart messages: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object contains ordered</w:t>
      </w:r>
      <w:r>
        <w:t xml:space="preserve"> </w:t>
      </w:r>
      <w:r>
        <w:rPr>
          <w:rStyle w:val="VerbatimChar"/>
        </w:rPr>
        <w:t xml:space="preserve">MessagePart</w:t>
      </w:r>
      <w:r>
        <w:t xml:space="preserve"> </w:t>
      </w:r>
      <w:r>
        <w:t xml:space="preserve">components supporting multimodal content (text, images, JSON).</w:t>
      </w:r>
    </w:p>
    <w:p>
      <w:pPr>
        <w:pStyle w:val="FirstParagraph"/>
      </w:pPr>
      <w:r>
        <w:rPr>
          <w:b/>
          <w:bCs/>
        </w:rPr>
        <w:t xml:space="preserve">Reference implementation.</w:t>
      </w:r>
      <w:r>
        <w:t xml:space="preserve"> </w:t>
      </w:r>
      <w:r>
        <w:t xml:space="preserve">BeeAI Framework — Python + TypeScript SDKs. The BeeAI Platform (</w:t>
      </w:r>
      <w:r>
        <w:rPr>
          <w:rStyle w:val="VerbatimChar"/>
        </w:rPr>
        <w:t xml:space="preserve">localhost:8333</w:t>
      </w:r>
      <w:r>
        <w:t xml:space="preserve"> </w:t>
      </w:r>
      <w:r>
        <w:t xml:space="preserve">web UI;</w:t>
      </w:r>
      <w:r>
        <w:t xml:space="preserve"> </w:t>
      </w:r>
      <w:r>
        <w:rPr>
          <w:rStyle w:val="VerbatimChar"/>
        </w:rPr>
        <w:t xml:space="preserve">beeai run</w:t>
      </w:r>
      <w:r>
        <w:t xml:space="preserve"> </w:t>
      </w:r>
      <w:r>
        <w:t xml:space="preserve">CLI).</w:t>
      </w:r>
      <w:r>
        <w:t xml:space="preserve"> </w:t>
      </w:r>
      <w:r>
        <w:rPr>
          <w:b/>
          <w:bCs/>
        </w:rPr>
        <w:t xml:space="preserve">No Go SDK</w:t>
      </w:r>
      <w:r>
        <w:t xml:space="preserve"> </w:t>
      </w:r>
      <w:r>
        <w:t xml:space="preserve">was produced before the project archived.</w:t>
      </w:r>
    </w:p>
    <w:p>
      <w:pPr>
        <w:pStyle w:val="BodyText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"Capability tokens" — unforgeable signed objects encoding</w:t>
      </w:r>
      <w:r>
        <w:t xml:space="preserve"> </w:t>
      </w:r>
      <w:r>
        <w:rPr>
          <w:rStyle w:val="VerbatimChar"/>
        </w:rPr>
        <w:t xml:space="preserve">(resource type, ops, expiry)</w:t>
      </w:r>
      <w:r>
        <w:t xml:space="preserve">. The protocol also bridged Kubernetes RBAC to leverage existing cluster roles. Auth design differed from A2A's OAuth-first approach.</w:t>
      </w:r>
    </w:p>
    <w:p>
      <w:pPr>
        <w:pStyle w:val="BodyText"/>
      </w:pPr>
      <w:r>
        <w:rPr>
          <w:b/>
          <w:bCs/>
        </w:rPr>
        <w:t xml:space="preserve">Observability.</w:t>
      </w:r>
      <w:r>
        <w:t xml:space="preserve"> </w:t>
      </w:r>
      <w:r>
        <w:t xml:space="preserve">OTLP-first — ACP calls were instrumented with OpenTelemetry by default; BeeAI shipped traces to Arize Phoenix out of the box.</w:t>
      </w:r>
    </w:p>
    <w:p>
      <w:pPr>
        <w:pStyle w:val="BodyText"/>
      </w:pPr>
      <w:r>
        <w:rPr>
          <w:b/>
          <w:bCs/>
        </w:rPr>
        <w:t xml:space="preserve">Governance.</w:t>
      </w:r>
      <w:r>
        <w:t xml:space="preserve"> </w:t>
      </w:r>
      <w:r>
        <w:t xml:space="preserve">Initially developed under the Linux Foundation AI &amp; Data program for open governance.</w:t>
      </w:r>
    </w:p>
    <w:p>
      <w:pPr>
        <w:pStyle w:val="BodyText"/>
      </w:pPr>
      <w:r>
        <w:rPr>
          <w:b/>
          <w:bCs/>
        </w:rPr>
        <w:t xml:space="preserve">Versioning.</w:t>
      </w:r>
      <w:r>
        <w:t xml:space="preserve"> </w:t>
      </w:r>
      <w:r>
        <w:t xml:space="preserve">ACP releases ran from v0.x.x through v1.0.3 (released 2025-08-21). The project was then archived on 2025-08-27.</w:t>
      </w:r>
    </w:p>
    <w:bookmarkEnd w:id="11"/>
    <w:bookmarkStart w:id="18" w:name="X1a817136efcf5610af79c51f1163ca35f8be2e0"/>
    <w:p>
      <w:pPr>
        <w:pStyle w:val="Heading2"/>
      </w:pPr>
      <w:r>
        <w:t xml:space="preserve">§2. Specification deep-dive</w:t>
      </w:r>
    </w:p>
    <w:p>
      <w:pPr>
        <w:pStyle w:val="FirstParagraph"/>
      </w:pPr>
      <w:r>
        <w:t xml:space="preserve">(Documented for historical / educational completeness only. Implementers should NOT use this as a build target.)</w:t>
      </w:r>
    </w:p>
    <w:bookmarkStart w:id="12" w:name="X47322f5601e1de7489b52953b4f1eccc2e54407"/>
    <w:p>
      <w:pPr>
        <w:pStyle w:val="Heading3"/>
      </w:pPr>
      <w:r>
        <w:t xml:space="preserve">§2.1 Message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X6cdb4e7d2c5748855de7df3a557d4b1eff3f635"/>
    <w:p>
      <w:pPr>
        <w:pStyle w:val="Heading3"/>
      </w:pPr>
      <w:r>
        <w:t xml:space="preserve">§2.2 Endpoints (OpenAPI)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/agents/{agent_id}/messages</w:t>
      </w:r>
      <w:r>
        <w:t xml:space="preserve"> </w:t>
      </w:r>
      <w:r>
        <w:t xml:space="preserve">— send a message; returns task ID.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/agents/{agent_id}/messages/{message_id}</w:t>
      </w:r>
      <w:r>
        <w:t xml:space="preserve"> </w:t>
      </w:r>
      <w:r>
        <w:t xml:space="preserve">— fetch status.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/agents/{agent_id}/messages/{message_id}/stream</w:t>
      </w:r>
      <w:r>
        <w:t xml:space="preserve"> </w:t>
      </w:r>
      <w:r>
        <w:t xml:space="preserve">— SSE streaming.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/agents/{agent_id}/manifest</w:t>
      </w:r>
      <w:r>
        <w:t xml:space="preserve"> </w:t>
      </w:r>
      <w:r>
        <w:t xml:space="preserve">— fetch agent capability manifest.</w:t>
      </w:r>
    </w:p>
    <w:bookmarkEnd w:id="13"/>
    <w:bookmarkStart w:id="14" w:name="X1305c7631743eecb89ecb41463ee10acbea2b1b"/>
    <w:p>
      <w:pPr>
        <w:pStyle w:val="Heading3"/>
      </w:pPr>
      <w:r>
        <w:t xml:space="preserve">§2.3 Agent manifest</w:t>
      </w:r>
    </w:p>
    <w:p>
      <w:pPr>
        <w:pStyle w:val="FirstParagraph"/>
      </w:pPr>
      <w:r>
        <w:t xml:space="preserve">Similar to A2A's AgentCard but with JSON-LD typing: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"https://acp.dev/contexts/agent.jsonld"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Xf8f871e59634cce5cebf84daa2b07708181e3ce"/>
    <w:p>
      <w:pPr>
        <w:pStyle w:val="Heading3"/>
      </w:pPr>
      <w:r>
        <w:t xml:space="preserve">§2.4 Sync vs async vs streaming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Sync:</w:t>
      </w:r>
      <w:r>
        <w:t xml:space="preserve"> </w:t>
      </w:r>
      <w:r>
        <w:t xml:space="preserve">HTTP POST returning JSON response (short tasks).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Async:</w:t>
      </w:r>
      <w:r>
        <w:t xml:space="preserve"> </w:t>
      </w:r>
      <w:r>
        <w:t xml:space="preserve">fire-and-forget with task ID; client polls or subscribes for progress.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Streaming:</w:t>
      </w:r>
      <w:r>
        <w:t xml:space="preserve"> </w:t>
      </w:r>
      <w:r>
        <w:t xml:space="preserve">server pushes incremental delta messages over WebSockets/SSE.</w:t>
      </w:r>
    </w:p>
    <w:bookmarkEnd w:id="15"/>
    <w:bookmarkStart w:id="16" w:name="X528ab66ecb1dcfe5f996403f391858c1701e4d9"/>
    <w:p>
      <w:pPr>
        <w:pStyle w:val="Heading3"/>
      </w:pPr>
      <w:r>
        <w:t xml:space="preserve">§2.5 Capability tokens (auth)</w:t>
      </w:r>
    </w:p>
    <w:p>
      <w:pPr>
        <w:pStyle w:val="FirstParagraph"/>
      </w:pPr>
      <w:r>
        <w:t xml:space="preserve">Capability tokens were ACP's distinguishing security mechanism — JWS-signed objects encoding what a holder is authorized to do. The tokens were verifiable by any agent without contacting an issuer, similar to macaroons.</w:t>
      </w:r>
    </w:p>
    <w:bookmarkEnd w:id="16"/>
    <w:bookmarkStart w:id="17" w:name="Xb300caf85ead12a4a1521a5abc395adceb85943"/>
    <w:p>
      <w:pPr>
        <w:pStyle w:val="Heading3"/>
      </w:pPr>
      <w:r>
        <w:t xml:space="preserve">§2.6 Compared to A2A and MCP (at launch, May 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ACP (IBM)</w:t>
            </w:r>
          </w:p>
        </w:tc>
        <w:tc>
          <w:tcPr/>
          <w:p>
            <w:pPr>
              <w:pStyle w:val="Compact"/>
            </w:pPr>
            <w:r>
              <w:t xml:space="preserve">A2A (Google)</w:t>
            </w:r>
          </w:p>
        </w:tc>
        <w:tc>
          <w:tcPr/>
          <w:p>
            <w:pPr>
              <w:pStyle w:val="Compact"/>
            </w:pPr>
            <w:r>
              <w:t xml:space="preserve">MCP (Anthropic)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agent-to-agent messaging</w:t>
            </w:r>
          </w:p>
        </w:tc>
        <w:tc>
          <w:tcPr/>
          <w:p>
            <w:pPr>
              <w:pStyle w:val="Compact"/>
            </w:pPr>
            <w:r>
              <w:t xml:space="preserve">cross-vendor agent interop</w:t>
            </w:r>
          </w:p>
        </w:tc>
        <w:tc>
          <w:tcPr/>
          <w:p>
            <w:pPr>
              <w:pStyle w:val="Compact"/>
            </w:pPr>
            <w:r>
              <w:t xml:space="preserve">LLM-to-tool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transport</w:t>
            </w:r>
          </w:p>
        </w:tc>
        <w:tc>
          <w:tcPr/>
          <w:p>
            <w:pPr>
              <w:pStyle w:val="Compact"/>
            </w:pPr>
            <w:r>
              <w:t xml:space="preserve">REST + SSE</w:t>
            </w:r>
          </w:p>
        </w:tc>
        <w:tc>
          <w:tcPr/>
          <w:p>
            <w:pPr>
              <w:pStyle w:val="Compact"/>
            </w:pPr>
            <w:r>
              <w:t xml:space="preserve">JSON-RPC + SSE</w:t>
            </w:r>
          </w:p>
        </w:tc>
        <w:tc>
          <w:tcPr/>
          <w:p>
            <w:pPr>
              <w:pStyle w:val="Compact"/>
            </w:pPr>
            <w:r>
              <w:t xml:space="preserve">stdio + Streamable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Capability tokens</w:t>
            </w:r>
          </w:p>
        </w:tc>
        <w:tc>
          <w:tcPr/>
          <w:p>
            <w:pPr>
              <w:pStyle w:val="Compact"/>
            </w:pPr>
            <w:r>
              <w:t xml:space="preserve">OAuth 2.0 / mTLS / Signed cards</w:t>
            </w:r>
          </w:p>
        </w:tc>
        <w:tc>
          <w:tcPr/>
          <w:p>
            <w:pPr>
              <w:pStyle w:val="Compact"/>
            </w:pPr>
            <w:r>
              <w:t xml:space="preserve">OAuth 2.0 / stdio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ACP Servers (registries)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/.well-known/agent.json</w:t>
            </w:r>
          </w:p>
        </w:tc>
        <w:tc>
          <w:tcPr/>
          <w:p>
            <w:pPr>
              <w:pStyle w:val="Compact"/>
            </w:pPr>
            <w:r>
              <w:t xml:space="preserve">configured by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brokered (registry-mediated)</w:t>
            </w:r>
          </w:p>
        </w:tc>
        <w:tc>
          <w:tcPr/>
          <w:p>
            <w:pPr>
              <w:pStyle w:val="Compact"/>
            </w:pPr>
            <w:r>
              <w:t xml:space="preserve">peer-to-peer</w:t>
            </w:r>
          </w:p>
        </w:tc>
        <w:tc>
          <w:tcPr/>
          <w:p>
            <w:pPr>
              <w:pStyle w:val="Compact"/>
            </w:pPr>
            <w:r>
              <w:t xml:space="preserve">host-server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</w:t>
            </w:r>
          </w:p>
        </w:tc>
        <w:tc>
          <w:tcPr/>
          <w:p>
            <w:pPr>
              <w:pStyle w:val="Compact"/>
            </w:pPr>
            <w:r>
              <w:t xml:space="preserve">JSON-LD-typed MessageParts</w:t>
            </w:r>
          </w:p>
        </w:tc>
        <w:tc>
          <w:tcPr/>
          <w:p>
            <w:pPr>
              <w:pStyle w:val="Compact"/>
            </w:pPr>
            <w:r>
              <w:t xml:space="preserve">typed Parts (text/file/data)</w:t>
            </w:r>
          </w:p>
        </w:tc>
        <w:tc>
          <w:tcPr/>
          <w:p>
            <w:pPr>
              <w:pStyle w:val="Compact"/>
            </w:pPr>
            <w:r>
              <w:t xml:space="preserve">resource MIME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SDK</w:t>
            </w:r>
          </w:p>
        </w:tc>
        <w:tc>
          <w:tcPr/>
          <w:p>
            <w:pPr>
              <w:pStyle w:val="Compact"/>
            </w:pPr>
            <w:r>
              <w:t xml:space="preserve">BeeAI (Python, TypeScript)</w:t>
            </w:r>
          </w:p>
        </w:tc>
        <w:tc>
          <w:tcPr/>
          <w:p>
            <w:pPr>
              <w:pStyle w:val="Compact"/>
            </w:pPr>
            <w:r>
              <w:t xml:space="preserve">a2a-* SDKs (8 languages incl. Go)</w:t>
            </w:r>
          </w:p>
        </w:tc>
        <w:tc>
          <w:tcPr/>
          <w:p>
            <w:pPr>
              <w:pStyle w:val="Compact"/>
            </w:pPr>
            <w:r>
              <w:t xml:space="preserve">go-sdk + Python/TS/Java/C#/Rust/Swift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Linux Foundation AI &amp; Data</w:t>
            </w:r>
          </w:p>
        </w:tc>
        <w:tc>
          <w:tcPr/>
          <w:p>
            <w:pPr>
              <w:pStyle w:val="Compact"/>
            </w:pPr>
            <w:r>
              <w:t xml:space="preserve">Linux Foundation (A2A project)</w:t>
            </w:r>
          </w:p>
        </w:tc>
        <w:tc>
          <w:tcPr/>
          <w:p>
            <w:pPr>
              <w:pStyle w:val="Compact"/>
            </w:pPr>
            <w:r>
              <w:t xml:space="preserve">open-source, MCP foundation forming</w:t>
            </w:r>
          </w:p>
        </w:tc>
      </w:tr>
    </w:tbl>
    <w:bookmarkEnd w:id="17"/>
    <w:bookmarkEnd w:id="18"/>
    <w:bookmarkStart w:id="20" w:name="X964d65f7481a0820c100811850412e1fe6d7013"/>
    <w:p>
      <w:pPr>
        <w:pStyle w:val="Heading2"/>
      </w:pPr>
      <w:r>
        <w:t xml:space="preserve">§3. The 2025-08-27 merger into A2A</w:t>
      </w:r>
    </w:p>
    <w:p>
      <w:pPr>
        <w:pStyle w:val="FirstParagraph"/>
      </w:pPr>
      <w:r>
        <w:t xml:space="preserve">On 2025-08-27, the</w:t>
      </w:r>
      <w:r>
        <w:t xml:space="preserve"> </w:t>
      </w:r>
      <w:r>
        <w:rPr>
          <w:rStyle w:val="VerbatimChar"/>
        </w:rPr>
        <w:t xml:space="preserve">i-am-bee/acp</w:t>
      </w:r>
      <w:r>
        <w:t xml:space="preserve"> </w:t>
      </w:r>
      <w:r>
        <w:t xml:space="preserve">GitHub repository was archived. The README and project announcements stated unambiguously:</w:t>
      </w:r>
    </w:p>
    <w:p>
      <w:pPr>
        <w:pStyle w:val="BlockText"/>
      </w:pPr>
      <w:r>
        <w:t xml:space="preserve">"ACP is now part of A2A under the Linux Foundation."</w:t>
      </w:r>
    </w:p>
    <w:p>
      <w:pPr>
        <w:pStyle w:val="FirstParagraph"/>
      </w:pPr>
      <w:r>
        <w:rPr>
          <w:b/>
          <w:bCs/>
        </w:rPr>
        <w:t xml:space="preserve">What this means in practice:</w:t>
      </w:r>
    </w:p>
    <w:p>
      <w:pPr>
        <w:pStyle w:val="Compact"/>
        <w:numPr>
          <w:ilvl w:val="0"/>
          <w:numId w:val="1006"/>
        </w:numPr>
      </w:pPr>
      <w:r>
        <w:t xml:space="preserve">The ACP repo is read-only as of 2025-08-27; no new releases.</w:t>
      </w:r>
    </w:p>
    <w:p>
      <w:pPr>
        <w:pStyle w:val="Compact"/>
        <w:numPr>
          <w:ilvl w:val="0"/>
          <w:numId w:val="1006"/>
        </w:numPr>
      </w:pPr>
      <w:r>
        <w:t xml:space="preserve">ACP's architectural concepts (Semantic Layer, capability tokens, brokered registries) are being absorbed into A2A as</w:t>
      </w:r>
      <w:r>
        <w:t xml:space="preserve"> </w:t>
      </w:r>
      <w:r>
        <w:rPr>
          <w:b/>
          <w:bCs/>
        </w:rPr>
        <w:t xml:space="preserve">extensions</w:t>
      </w:r>
      <w:r>
        <w:t xml:space="preserve"> </w:t>
      </w:r>
      <w:r>
        <w:t xml:space="preserve">or as inspiration for v1.x features.</w:t>
      </w:r>
    </w:p>
    <w:p>
      <w:pPr>
        <w:pStyle w:val="Compact"/>
        <w:numPr>
          <w:ilvl w:val="0"/>
          <w:numId w:val="1006"/>
        </w:numPr>
      </w:pPr>
      <w:r>
        <w:t xml:space="preserve">BeeAI Framework remains active but pivots toward A2A as its primary protocol — see the BeeAI A2A integration docs at</w:t>
      </w:r>
      <w:r>
        <w:t xml:space="preserve"> </w:t>
      </w:r>
      <w:hyperlink r:id="rId19">
        <w:r>
          <w:rPr>
            <w:rStyle w:val="Hyperlink"/>
          </w:rPr>
          <w:t xml:space="preserve">https://framework.beeai.dev/integrations/acp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New projects choosing between ACP and A2A are explicitly directed to A2A by the Linux Foundation.</w:t>
      </w:r>
    </w:p>
    <w:p>
      <w:pPr>
        <w:pStyle w:val="FirstParagraph"/>
      </w:pPr>
      <w:r>
        <w:rPr>
          <w:b/>
          <w:bCs/>
        </w:rPr>
        <w:t xml:space="preserve">Why the merger?</w:t>
      </w:r>
      <w:r>
        <w:t xml:space="preserve"> </w:t>
      </w:r>
      <w:r>
        <w:t xml:space="preserve">The agentic protocol ecosystem fragmented in early-to-mid 2025: MCP (Anthropic), A2A (Google), ACP (IBM), ANP (community). The cost of supporting all four (in SDKs, in agent runtimes, in interop testing) was unsustainable. The Linux Foundation brokered consolidation — A2A absorbed ACP because A2A had broader ecosystem support (Microsoft, AWS, Salesforce, SAP, ServiceNow joined A2A by mid-2025; ACP did not match that adoption).</w:t>
      </w:r>
    </w:p>
    <w:p>
      <w:pPr>
        <w:pStyle w:val="BodyText"/>
      </w:pPr>
      <w:r>
        <w:rPr>
          <w:b/>
          <w:bCs/>
        </w:rPr>
        <w:t xml:space="preserve">Where ACP ideas live now in A2A: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AgentCard.skills[].tags</w:t>
      </w:r>
      <w:r>
        <w:t xml:space="preserve"> </w:t>
      </w:r>
      <w:r>
        <w:t xml:space="preserve">— partially absorbed ACP's JSON-LD-typed capabilities.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Signed AgentCards (A2A v1.0)</w:t>
      </w:r>
      <w:r>
        <w:t xml:space="preserve"> </w:t>
      </w:r>
      <w:r>
        <w:t xml:space="preserve">— directly inspired by ACP capability tokens.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Push notifications</w:t>
      </w:r>
      <w:r>
        <w:t xml:space="preserve"> </w:t>
      </w:r>
      <w:r>
        <w:t xml:space="preserve">— A2A's webhook-based async completion echoes ACP's async pattern.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Streaming via SSE</w:t>
      </w:r>
      <w:r>
        <w:t xml:space="preserve"> </w:t>
      </w:r>
      <w:r>
        <w:t xml:space="preserve">— both protocols converged on the same pattern.</w:t>
      </w:r>
    </w:p>
    <w:bookmarkEnd w:id="20"/>
    <w:bookmarkStart w:id="26" w:name="Xca3b8084a1e741f360d3e4a9d90315d87e873e0"/>
    <w:p>
      <w:pPr>
        <w:pStyle w:val="Heading2"/>
      </w:pPr>
      <w:r>
        <w:t xml:space="preserve">§4. Lessons Herald carries forward to A2A</w:t>
      </w:r>
    </w:p>
    <w:p>
      <w:pPr>
        <w:pStyle w:val="FirstParagraph"/>
      </w:pPr>
      <w:r>
        <w:t xml:space="preserve">When Herald implements A2A (per A2A.md, Wave 4b), the following ACP design choices inform Herald-specific extensions:</w:t>
      </w:r>
    </w:p>
    <w:bookmarkStart w:id="21" w:name="Xc2d37e8a501926d535c06b2f0772d2404493e98"/>
    <w:p>
      <w:pPr>
        <w:pStyle w:val="Heading3"/>
      </w:pPr>
      <w:r>
        <w:t xml:space="preserve">§4.1 OTLP-first observability</w:t>
      </w:r>
    </w:p>
    <w:p>
      <w:pPr>
        <w:pStyle w:val="FirstParagraph"/>
      </w:pPr>
      <w:r>
        <w:t xml:space="preserve">ACP shipped OTel by default. Herald MUST do the same on its A2A surface —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propagation on every A2A request, with trace export to Herald's existing OTel collector (from</w:t>
      </w:r>
      <w:r>
        <w:t xml:space="preserve"> </w:t>
      </w:r>
      <w:r>
        <w:rPr>
          <w:rStyle w:val="VerbatimChar"/>
        </w:rPr>
        <w:t xml:space="preserve">submodules/observability/</w:t>
      </w:r>
      <w:r>
        <w:t xml:space="preserve">). This is already in §3.7 of A2A.md.</w:t>
      </w:r>
    </w:p>
    <w:bookmarkEnd w:id="21"/>
    <w:bookmarkStart w:id="22" w:name="X81f19669bc7fc3527ed2e8221a59e4e449848ad"/>
    <w:p>
      <w:pPr>
        <w:pStyle w:val="Heading3"/>
      </w:pPr>
      <w:r>
        <w:t xml:space="preserve">§4.2 Capability tokens as a future extension</w:t>
      </w:r>
    </w:p>
    <w:p>
      <w:pPr>
        <w:pStyle w:val="FirstParagraph"/>
      </w:pPr>
      <w:r>
        <w:t xml:space="preserve">A2A's Signed AgentCards cover authentication of the CARD. ACP's capability tokens covered fine-grained authorization of EACH REQUEST. Herald could layer ACP-style capability tokens ON TOP of A2A as a</w:t>
      </w:r>
      <w:r>
        <w:t xml:space="preserve"> </w:t>
      </w:r>
      <w:r>
        <w:rPr>
          <w:rStyle w:val="VerbatimChar"/>
        </w:rPr>
        <w:t xml:space="preserve">commons_a2a/capabilities/</w:t>
      </w:r>
      <w:r>
        <w:t xml:space="preserve"> </w:t>
      </w:r>
      <w:r>
        <w:t xml:space="preserve">extension — see HRD-242 follow-up.</w:t>
      </w:r>
    </w:p>
    <w:bookmarkEnd w:id="22"/>
    <w:bookmarkStart w:id="23" w:name="Xf86fd9fe6fb122c634261535279c3ea87bb5ad9"/>
    <w:p>
      <w:pPr>
        <w:pStyle w:val="Heading3"/>
      </w:pPr>
      <w:r>
        <w:t xml:space="preserve">§4.3 Multimodal MessageParts</w:t>
      </w:r>
    </w:p>
    <w:p>
      <w:pPr>
        <w:pStyle w:val="FirstParagraph"/>
      </w:pPr>
      <w:r>
        <w:t xml:space="preserve">Both ACP and A2A support multimodal MessageParts. Herald's existing</w:t>
      </w:r>
      <w:r>
        <w:t xml:space="preserve"> </w:t>
      </w:r>
      <w:r>
        <w:rPr>
          <w:rStyle w:val="VerbatimChar"/>
        </w:rPr>
        <w:t xml:space="preserve">commons.OutboundMessage.Body</w:t>
      </w:r>
      <w:r>
        <w:t xml:space="preserve"> </w:t>
      </w:r>
      <w:r>
        <w:t xml:space="preserve">type carries multimodal content (text + markdown + HTML + attachments). The translation between A2A Parts and Herald's Body is straightforward; the ACP multimodal pattern validated the approach.</w:t>
      </w:r>
    </w:p>
    <w:bookmarkEnd w:id="23"/>
    <w:bookmarkStart w:id="24" w:name="X5e896aa1eac5139925adc015962e77e4335b6d9"/>
    <w:p>
      <w:pPr>
        <w:pStyle w:val="Heading3"/>
      </w:pPr>
      <w:r>
        <w:t xml:space="preserve">§4.4 Brokered registry as a future pattern</w:t>
      </w:r>
    </w:p>
    <w:p>
      <w:pPr>
        <w:pStyle w:val="FirstParagraph"/>
      </w:pPr>
      <w:r>
        <w:t xml:space="preserve">ACP's "ACP Servers (registries)" is a brokered discovery layer. Herald could publish AgentCards to a Linux Foundation A2A registry — see HRD-247 follow-up.</w:t>
      </w:r>
    </w:p>
    <w:bookmarkEnd w:id="24"/>
    <w:bookmarkStart w:id="25" w:name="Xec679201acd41858fd5f451ef41572dd49cf5a4"/>
    <w:p>
      <w:pPr>
        <w:pStyle w:val="Heading3"/>
      </w:pPr>
      <w:r>
        <w:t xml:space="preserve">§4.5 JSON-LD typed capabilities</w:t>
      </w:r>
    </w:p>
    <w:p>
      <w:pPr>
        <w:pStyle w:val="FirstParagraph"/>
      </w:pPr>
      <w:r>
        <w:t xml:space="preserve">ACP used JSON-LD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 </w:t>
      </w:r>
      <w:r>
        <w:t xml:space="preserve">for capability typing. A2A uses untyped</w:t>
      </w:r>
      <w:r>
        <w:t xml:space="preserve"> </w:t>
      </w:r>
      <w:r>
        <w:rPr>
          <w:rStyle w:val="VerbatimChar"/>
        </w:rPr>
        <w:t xml:space="preserve">skills[].tags</w:t>
      </w:r>
      <w:r>
        <w:t xml:space="preserve">. Herald can adopt a hybrid — publish A2A skills with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AND a Herald-specific</w:t>
      </w:r>
      <w:r>
        <w:t xml:space="preserve"> </w:t>
      </w:r>
      <w:r>
        <w:rPr>
          <w:rStyle w:val="VerbatimChar"/>
        </w:rPr>
        <w:t xml:space="preserve">metadata.jsonld_context</w:t>
      </w:r>
      <w:r>
        <w:t xml:space="preserve"> </w:t>
      </w:r>
      <w:r>
        <w:t xml:space="preserve">for consumers that want strict typing. This is a Wave 4b+1 enhancement.</w:t>
      </w:r>
    </w:p>
    <w:bookmarkEnd w:id="25"/>
    <w:bookmarkEnd w:id="26"/>
    <w:bookmarkStart w:id="27" w:name="X08b8ec700118f1788daaca097f7ffd561dbe7e3"/>
    <w:p>
      <w:pPr>
        <w:pStyle w:val="Heading2"/>
      </w:pPr>
      <w:r>
        <w:t xml:space="preserve">§5. Why Herald does NOT implement ACP separately</w:t>
      </w:r>
    </w:p>
    <w:p>
      <w:pPr>
        <w:pStyle w:val="FirstParagraph"/>
      </w:pPr>
      <w:r>
        <w:t xml:space="preserve">Six reasons: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protocol is archived.</w:t>
      </w:r>
      <w:r>
        <w:t xml:space="preserve"> </w:t>
      </w:r>
      <w:r>
        <w:t xml:space="preserve">No upstream maintenance; security patches go unfixed; ecosystem alignment shifts toward A2A.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Go SDK.</w:t>
      </w:r>
      <w:r>
        <w:t xml:space="preserve"> </w:t>
      </w:r>
      <w:r>
        <w:t xml:space="preserve">Implementing ACP would mean writing a Go client from scratch — wasted effort vs adopting the actively-maintained a2a-go SDK.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Overlapping use cases.</w:t>
      </w:r>
      <w:r>
        <w:t xml:space="preserve"> </w:t>
      </w:r>
      <w:r>
        <w:t xml:space="preserve">Every ACP use case has an A2A equivalent. Building both surfaces is duplicated work.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BeeAI Framework itself pivoted to A2A.</w:t>
      </w:r>
      <w:r>
        <w:t xml:space="preserve"> </w:t>
      </w:r>
      <w:r>
        <w:t xml:space="preserve">The canonical ACP runtime now speaks A2A as primary.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Operator mandate mentioned "ACP — for work with models (LLMs)".</w:t>
      </w:r>
      <w:r>
        <w:t xml:space="preserve"> </w:t>
      </w:r>
      <w:r>
        <w:t xml:space="preserve">The operator likely conflated ACP and A2A (a common confusion in 2025-2026). The right semantic match for "agent communication for LLMs" in 2026 is A2A. This doc is the disambiguation record.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Herald is small.</w:t>
      </w:r>
      <w:r>
        <w:t xml:space="preserve"> </w:t>
      </w:r>
      <w:r>
        <w:t xml:space="preserve">Herald supports 7 flavor binaries + 1 future Wave 4 protocol surface; adding a deprecated protocol is non-trivial overhead with zero payoff.</w:t>
      </w:r>
    </w:p>
    <w:p>
      <w:pPr>
        <w:pStyle w:val="FirstParagraph"/>
      </w:pPr>
      <w:r>
        <w:rPr>
          <w:b/>
          <w:bCs/>
        </w:rPr>
        <w:t xml:space="preserve">Decision (operator confirmation pending):</w:t>
      </w:r>
      <w:r>
        <w:t xml:space="preserve"> </w:t>
      </w:r>
      <w:r>
        <w:t xml:space="preserve">Herald implements A2A (per A2A.md, Wave 4b) AS THE response to the operator's "ACP — for work with models (LLMs)" mandate. This doc serves as the forensic trail explaining why "implement ACP" became "implement A2A".</w:t>
      </w:r>
    </w:p>
    <w:bookmarkEnd w:id="27"/>
    <w:bookmarkStart w:id="34" w:name="X0bf27bd66b8c54b0d5c90c8a89809ea9206eaeb"/>
    <w:p>
      <w:pPr>
        <w:pStyle w:val="Heading2"/>
      </w:pPr>
      <w:r>
        <w:t xml:space="preserve">§6. Historical references</w:t>
      </w:r>
    </w:p>
    <w:p>
      <w:pPr>
        <w:pStyle w:val="FirstParagraph"/>
      </w:pPr>
      <w:r>
        <w:t xml:space="preserve">(All fetched 2026-05-22; historical record.)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IBM Research project page.</w:t>
      </w:r>
      <w:r>
        <w:t xml:space="preserve"> </w:t>
      </w:r>
      <w:hyperlink r:id="rId28">
        <w:r>
          <w:rPr>
            <w:rStyle w:val="Hyperlink"/>
          </w:rPr>
          <w:t xml:space="preserve">https://research.ibm.com/projects/agent-communication-protocol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IBM Think topic page.</w:t>
      </w:r>
      <w:r>
        <w:t xml:space="preserve"> </w:t>
      </w:r>
      <w:hyperlink r:id="rId29">
        <w:r>
          <w:rPr>
            <w:rStyle w:val="Hyperlink"/>
          </w:rPr>
          <w:t xml:space="preserve">https://www.ibm.com/think/topics/agent-communication-protocol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i-am-bee/acp repository.</w:t>
      </w:r>
      <w:r>
        <w:t xml:space="preserve"> </w:t>
      </w:r>
      <w:hyperlink r:id="rId30">
        <w:r>
          <w:rPr>
            <w:rStyle w:val="Hyperlink"/>
          </w:rPr>
          <w:t xml:space="preserve">https://github.com/i-am-bee/acp</w:t>
        </w:r>
      </w:hyperlink>
      <w:r>
        <w:t xml:space="preserve"> </w:t>
      </w:r>
      <w:r>
        <w:t xml:space="preserve">— ARCHIVED 2025-08-27, v1.0.3 final release 2025-08-21. 1k+ stars, 119 forks. Python 77.9%, TypeScript 20.9%.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BeeAI Framework ACP integration (post-merger).</w:t>
      </w:r>
      <w:r>
        <w:t xml:space="preserve"> </w:t>
      </w:r>
      <w:hyperlink r:id="rId19">
        <w:r>
          <w:rPr>
            <w:rStyle w:val="Hyperlink"/>
          </w:rPr>
          <w:t xml:space="preserve">https://framework.beeai.dev/integrations/acp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BeeAI pre-alpha SDK docs.</w:t>
      </w:r>
      <w:r>
        <w:t xml:space="preserve"> </w:t>
      </w:r>
      <w:hyperlink r:id="rId31">
        <w:r>
          <w:rPr>
            <w:rStyle w:val="Hyperlink"/>
          </w:rPr>
          <w:t xml:space="preserve">https://docs.beeai.dev/acp/pre-alpha/sdk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WorkOS technical overview.</w:t>
      </w:r>
      <w:r>
        <w:t xml:space="preserve"> </w:t>
      </w:r>
      <w:hyperlink r:id="rId32">
        <w:r>
          <w:rPr>
            <w:rStyle w:val="Hyperlink"/>
          </w:rPr>
          <w:t xml:space="preserve">https://workos.com/blog/ibm-agent-communication-protocol-acp</w:t>
        </w:r>
      </w:hyperlink>
      <w:r>
        <w:t xml:space="preserve"> </w:t>
      </w:r>
      <w:r>
        <w:t xml:space="preserve">— comprehensive technical breakdown including the architecture comparison with MCP and A2A.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Medium introduction.</w:t>
      </w:r>
      <w:r>
        <w:t xml:space="preserve"> </w:t>
      </w:r>
      <w:hyperlink r:id="rId33">
        <w:r>
          <w:rPr>
            <w:rStyle w:val="Hyperlink"/>
          </w:rPr>
          <w:t xml:space="preserve">https://medium.com/mitb-for-all/introducing-the-agent-communication-protocol-acp-abd882114139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Linux Foundation AI &amp; Data announcement</w:t>
      </w:r>
      <w:r>
        <w:t xml:space="preserve"> </w:t>
      </w:r>
      <w:r>
        <w:t xml:space="preserve">(referenced from i-am-bee/acp README).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Survey arxiv:2505.02279</w:t>
      </w:r>
      <w:r>
        <w:t xml:space="preserve"> </w:t>
      </w:r>
      <w:r>
        <w:t xml:space="preserve">— published May 2025, before the merger; documents ACP/A2A/MCP/ANP as four-way separate. The post-merger landscape is now A2A/MCP (+ ANP as community alternative).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arXiv:2602.15055</w:t>
      </w:r>
      <w:r>
        <w:t xml:space="preserve"> </w:t>
      </w:r>
      <w:r>
        <w:t xml:space="preserve">— "Beyond Context Sharing: A Unified Agent Communication Protocol" — post-merger analysis (Feb 2026) arguing the consolidation was correct.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docs.beeai.dev/acp/pre-alpha/sdk" TargetMode="External" /><Relationship Type="http://schemas.openxmlformats.org/officeDocument/2006/relationships/hyperlink" Id="rId19" Target="https://framework.beeai.dev/integrations/acp" TargetMode="External" /><Relationship Type="http://schemas.openxmlformats.org/officeDocument/2006/relationships/hyperlink" Id="rId30" Target="https://github.com/i-am-bee/acp" TargetMode="External" /><Relationship Type="http://schemas.openxmlformats.org/officeDocument/2006/relationships/hyperlink" Id="rId33" Target="https://medium.com/mitb-for-all/introducing-the-agent-communication-protocol-acp-abd882114139" TargetMode="External" /><Relationship Type="http://schemas.openxmlformats.org/officeDocument/2006/relationships/hyperlink" Id="rId28" Target="https://research.ibm.com/projects/agent-communication-protocol" TargetMode="External" /><Relationship Type="http://schemas.openxmlformats.org/officeDocument/2006/relationships/hyperlink" Id="rId32" Target="https://workos.com/blog/ibm-agent-communication-protocol-acp" TargetMode="External" /><Relationship Type="http://schemas.openxmlformats.org/officeDocument/2006/relationships/hyperlink" Id="rId29" Target="https://www.ibm.com/think/topics/agent-communication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beeai.dev/acp/pre-alpha/sdk" TargetMode="External" /><Relationship Type="http://schemas.openxmlformats.org/officeDocument/2006/relationships/hyperlink" Id="rId19" Target="https://framework.beeai.dev/integrations/acp" TargetMode="External" /><Relationship Type="http://schemas.openxmlformats.org/officeDocument/2006/relationships/hyperlink" Id="rId30" Target="https://github.com/i-am-bee/acp" TargetMode="External" /><Relationship Type="http://schemas.openxmlformats.org/officeDocument/2006/relationships/hyperlink" Id="rId33" Target="https://medium.com/mitb-for-all/introducing-the-agent-communication-protocol-acp-abd882114139" TargetMode="External" /><Relationship Type="http://schemas.openxmlformats.org/officeDocument/2006/relationships/hyperlink" Id="rId28" Target="https://research.ibm.com/projects/agent-communication-protocol" TargetMode="External" /><Relationship Type="http://schemas.openxmlformats.org/officeDocument/2006/relationships/hyperlink" Id="rId32" Target="https://workos.com/blog/ibm-agent-communication-protocol-acp" TargetMode="External" /><Relationship Type="http://schemas.openxmlformats.org/officeDocument/2006/relationships/hyperlink" Id="rId29" Target="https://www.ibm.com/think/topics/agent-communication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