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**r48: §11.4.19 closed HRD-117 (Wave 7 T8 spec-doc) Issues→Fixed — its deliverable is VERIFIED PRESENT in the active spec V4 (§11.0 line 1548 "Wave 7 inbound-runtime extension" note +</w:t>
            </w:r>
            <w:r>
              <w:t xml:space="preserve"> </w:t>
            </w:r>
            <w:r>
              <w:rPr>
                <w:rStyle w:val="VerbatimChar"/>
              </w:rPr>
              <w:t xml:space="preserve">Channel.Subscribe</w:t>
            </w:r>
            <w:r>
              <w:t xml:space="preserve">, §32.2 Telegram/Slack LIVE,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row); doc-only (no product code — that shipped under HRD-116/118/119/120/121, already Fixed). Open 10→9. Prior r47: §11.4.90 + §11.4.19 atomic Obsolete→Fixed migration — moved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-status HRDs (HRD-143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test, HRD-144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closed-loop script, HRD-145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mode, HRD-015 Go-scaffold inheritance-gate I8 invariants) out of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each preserving its full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line (Since / Reason / Superseding-item / triple-check evidence per §11.4.90). Each superseding artefact was re-verified to exist before migration: HRD-140/141/142 MTProto-driven replacement tests present under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</w:t>
            </w:r>
            <w:r>
              <w:t xml:space="preserve">, their Fixed.md rows present, the legacy source comment / shell script /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Cobra flag still on disk; HRD-015's I8a/b/c §107-covenant checks present at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+ null adapter build green. Open count 14→10. Prior **r46: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BOTH pipe-tables (the "Open" + "In progress" tracker tables), each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severity-grouped metadata stays together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Tables widen 8→10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HRD-081, HRD-115, HRD-131, HRD-150, HRD-155, HRD-156, HRD-157, HRD-158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9 open / in-progress workable items (r47 §11.4.90+§11.4.19-migrated the 4 Obsolete HRDs — HRD-143/144/145 legacy-live-test supersessions + HRD-015 Go-scaffold I8 design-supersession — out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; was 43, r43 had already §11.4.19-migrated 51 code-verified HRDs). The 10 remaining: HRD-115 (Slack adapter — operator-gated on LIVE round-trip evidence), HRD-117 (spec doc-only), HRD-131/150/155/156/157/158 (ATMOSphere/SSoT externally gated), HRD-081/008 (upstream/operator-validation).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HRD-015,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HRD-143, HRD-144, HRD-145, HRD-146, HRD-147,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  <w:r>
              <w:t xml:space="preserve"> </w:t>
            </w:r>
            <w:r>
              <w:rPr>
                <w:b/>
                <w:bCs/>
              </w:rPr>
              <w:t xml:space="preserve">2026-05-29 re-assessment:</w:t>
            </w:r>
            <w:r>
              <w:t xml:space="preserve"> </w:t>
            </w:r>
            <w:r>
              <w:t xml:space="preserve">Phase 2 remains EXTERNALLY BLOCKED —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is still a non-functional scaffold (0/7 subcommands implemented,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 </w:t>
            </w:r>
            <w:r>
              <w:t xml:space="preserve">succeeds but every command exits 2 "not yet implemented"; full 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). Herald cannot proceed beyond Phase 1 without reimplementing the binary, which §11.4.74 forbids. The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→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reconciliation is DEFERRED BY DESIGN per CLAUDE.md §11.4.95 ("reconcile to the canonical path when the DB is implemented") — reconciling now would churn 4 governance docs (inheritance-gate risk) for a file that does not yet exist and could create a new dot/no-dot split.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bidirectional MD↔SQLite regenerator + drift resolution (reference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§11.4.74, supply the ATMOSphere-format parser the tool lacks).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(HRD-W4);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operationalize the workable-items SQLite tool + reconcile HRD-131 (implement the tool's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/</w:t>
            </w: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+ ATMOSphere-format parser upstream in the constitution repo per §11.4.74; external blocker for SSoT materialization).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(HRD-W11) + §10; composes with HRD-131;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full-automation test suite (T-A real-SQLite→real-Telegram via MTProto; T-B inbound→real-row-mutation; T-C exact-diff byte-assert; T-D/T-E §11.4.85 stress/chaos; T-F paired §1.1 mutation gate; wrap as Challenges for HelixQA; all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A; Catalogue-Check: reuse Herald e2e + §11.4.85 + MTProto harness + ATMOSphere HelixQA/Challenges.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Phase 3 — register Herald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(replace the broken orphan gitlink, operator-chosen 2026-05-29),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, wire host-side runner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), seed Subscribers, run live T-A..T-F evidence.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§5; Catalogue-Check: mirror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 </w:t>
            </w:r>
            <w:r>
              <w:t xml:space="preserve">host-tool 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covenant verbatim-phrase propagation: add the operator phrase to root</w:t>
            </w:r>
            <w:r>
              <w:t xml:space="preserve"> </w:t>
            </w:r>
            <w:r>
              <w:rPr>
                <w:rStyle w:val="VerbatimChar"/>
              </w:rPr>
              <w:t xml:space="preserve">constitution/QWEN.md</w:t>
            </w:r>
            <w:r>
              <w:t xml:space="preserve"> </w:t>
            </w:r>
            <w:r>
              <w:t xml:space="preserve">(HelixConstitution) → cascade to ATMOSphere root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+ all 25 submodules'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(6 helixqa confirmed-missing; audit the other ~18) + Herald README.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B; §11.4.26 fetch-first governance workflow; Catalogue-Check: n/a.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2026-05-31T09:12:25Z</dcterms:created>
  <dcterms:modified xsi:type="dcterms:W3CDTF">2026-05-31T09:12:25Z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