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55"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12</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r12: added §110 (Intent recognition &amp; clarification) restating the operator mandate (2026-05-31) at Herald project-constitution level — subscribers speak plain natural language (NO command syntax / no</w:t>
            </w:r>
            <w:r>
              <w:t xml:space="preserve"> </w:t>
            </w:r>
            <w:r>
              <w:rPr>
                <w:rStyle w:val="VerbatimChar"/>
              </w:rPr>
              <w:t xml:space="preserve">COMMAND:</w:t>
            </w:r>
            <w:r>
              <w:t xml:space="preserve"> </w:t>
            </w:r>
            <w:r>
              <w:t xml:space="preserve">prefix); the three-tier intent-resolution discipline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as a table; the command set Tier 1 recognizes as a table; the "never guess / never ignore" rules; cites the authoritative contract</w:t>
            </w:r>
            <w:r>
              <w:t xml:space="preserve"> </w:t>
            </w:r>
            <w:r>
              <w:rPr>
                <w:rStyle w:val="VerbatimChar"/>
              </w:rPr>
              <w:t xml:space="preserve">docs/design/INTENT_RECOGNITION.md</w:t>
            </w:r>
            <w:r>
              <w:t xml:space="preserve"> </w:t>
            </w:r>
            <w:r>
              <w:t xml:space="preserve">and notes inheritance from HelixConstitution §11.4.105 (the root-§ being added on the constitution stream) per §11.4.35; restated + cited, not redefined; ToC entry added. Prior r11: added §109 (Participant identity, attribution &amp; notification-tagging) restating the operator mandate (2026-05-31) at Herald project-constitution level — per-messenger Participant identity (</w:t>
            </w:r>
            <w:r>
              <w:rPr>
                <w:rStyle w:val="VerbatimChar"/>
              </w:rPr>
              <w:t xml:space="preserve">subscribers</w:t>
            </w:r>
            <w:r>
              <w:t xml:space="preserve"> </w:t>
            </w:r>
            <w:r>
              <w:t xml:space="preserve">+</w:t>
            </w:r>
            <w:r>
              <w:t xml:space="preserve"> </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as a table; cites the authoritative contract</w:t>
            </w:r>
            <w:r>
              <w:t xml:space="preserve"> </w:t>
            </w:r>
            <w:r>
              <w:rPr>
                <w:rStyle w:val="VerbatimChar"/>
              </w:rPr>
              <w:t xml:space="preserve">docs/design/PARTICIPANT_ATTRIBUTION.md</w:t>
            </w:r>
            <w:r>
              <w:t xml:space="preserve"> </w:t>
            </w:r>
            <w:r>
              <w:t xml:space="preserve">and notes inheritance from HelixConstitution per §11.4.35; restated + cited, not redefined; ToC entry added. Prior r10: extended §108 with §108.o restating inherited HelixConstitution §11.4.100 (Video color + visual-quality fidelity mandate, 2026-05-28) at Herald project-constitution level per §1.1 multi-file propagation discipline; inherited per §11.4.35, restated + cited, not redefined; literal anchor</w:t>
            </w:r>
            <w:r>
              <w:t xml:space="preserve"> </w:t>
            </w:r>
            <w:r>
              <w:rPr>
                <w:rStyle w:val="VerbatimChar"/>
              </w:rPr>
              <w:t xml:space="preserve">11.4.100</w:t>
            </w:r>
            <w:r>
              <w:t xml:space="preserve"> </w:t>
            </w:r>
            <w:r>
              <w:t xml:space="preserve">now present in all three Herald root docs (CLAUDE.md r16, AGENTS.md r12, QWEN.md). Herald-applicability classification: non-applicable-but-cite (Herald has NO video-playback surface — pherald downloads video attachments as opaque sha256-blobs without decoding/rendering); cascade-parallel to §108.k (Universal §11.4.96 "Herald has no AOSP build, but the principle binds"). Required by upcoming Helix-side</w:t>
            </w:r>
            <w:r>
              <w:t xml:space="preserve"> </w:t>
            </w:r>
            <w:r>
              <w:rPr>
                <w:rStyle w:val="VerbatimChar"/>
              </w:rPr>
              <w:t xml:space="preserve">CM-COVENANT-114-100-PROPAGATION</w:t>
            </w:r>
            <w:r>
              <w:t xml:space="preserve"> </w:t>
            </w:r>
            <w:r>
              <w:t xml:space="preserve">pre-build gate. Prior r7: extended §108 with §108.j–§108.l restating the next three inherited HelixConstitution mandates — §11.4.95 workable-items SQLite DB tracked-in-git-not-gitignored, §11.4.96 safe-parallel-work-with-long-build catalogue + mandate, §11.4.97 maximum-use-of-idle-time + progress-update cadence — at Herald project-constitution level per §1.1 multi-file propagation discipline;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 Prior 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 §108.j–§108.l Helix §11.4.95–§11.4.97 propagation (r7)</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 r7 extends §108 with §108.j–§108.l (§108.j workable-items SQLite DB tracked-in-git-not-gitignored §11.4.95, §108.k safe-parallel-work-with-long-build catalogue + mandate §11.4.96, §108.l maximum-use-of-idle-time + progress-update cadence §11.4.97) restating the next three inherited HelixConstitution mandates at Herald level,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6014f8c2d8b9ec0d7576d4dd4de0030dd248200">
        <w:r>
          <w:rPr>
            <w:rStyle w:val="Hyperlink"/>
          </w:rPr>
          <w:t xml:space="preserve">§108. Inherited covenant restatements (Helix §11.4.85 / §11.4.87 / §11.4.88 / §11.4.89 / §11.4.90 / §11.4.91 / §11.4.92 / §11.4.93 / §11.4.94 / §11.4.95 / §11.4.96 / §11.4.97 / §11.4.98 / §11.4.99 / §11.4.100)</w:t>
        </w:r>
      </w:hyperlink>
    </w:p>
    <w:p>
      <w:pPr>
        <w:pStyle w:val="Compact"/>
        <w:numPr>
          <w:ilvl w:val="1"/>
          <w:numId w:val="1002"/>
        </w:numPr>
      </w:pPr>
      <w:hyperlink w:anchor="X334e1f34d770475f1544bf6f82ee80a38927ce0">
        <w:r>
          <w:rPr>
            <w:rStyle w:val="Hyperlink"/>
          </w:rPr>
          <w:t xml:space="preserve">§109. Participant identity, attribution &amp; notification-tagging</w:t>
        </w:r>
      </w:hyperlink>
    </w:p>
    <w:p>
      <w:pPr>
        <w:pStyle w:val="Compact"/>
        <w:numPr>
          <w:ilvl w:val="1"/>
          <w:numId w:val="1002"/>
        </w:numPr>
      </w:pPr>
      <w:hyperlink w:anchor="Xc77a820bd20c0c7d8a0b25c8be8bec59a44738b">
        <w:r>
          <w:rPr>
            <w:rStyle w:val="Hyperlink"/>
          </w:rPr>
          <w:t xml:space="preserve">§110. Intent recognition &amp; clarification</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50"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docs/specs/mvp/specification.V3.md`)</w:t>
      </w:r>
      <w:r>
        <w:rPr>
          <w:rStyle w:val="VerbatimChar"/>
        </w:rPr>
        <w:t xml:space="preserve">MUST appear in</w:t>
      </w:r>
      <w:r>
        <w:t xml:space="preserve">docs/specs/mvp/specification.V3.md`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35" w:name="X5e9d35a018854aca693b3752d985fa6f706a217"/>
    <w:p>
      <w:pPr>
        <w:pStyle w:val="Heading3"/>
      </w:pPr>
      <w:r>
        <w:t xml:space="preserve">§108. Inherited covenant restatements (Helix §11.4.85 / §11.4.87 / §11.4.88 / §11.4.89 / §11.4.90 / §11.4.91 / §11.4.92 / §11.4.93 / §11.4.94 / §11.4.95 / §11.4.96 / §11.4.97 / §11.4.98 / §11.4.99 / §11.4.100)</w:t>
      </w:r>
    </w:p>
    <w:p>
      <w:pPr>
        <w:pStyle w:val="FirstParagraph"/>
      </w:pPr>
      <w:r>
        <w:t xml:space="preserve">These twelve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w:t>
      </w:r>
      <w:r>
        <w:t xml:space="preserve"> </w:t>
      </w:r>
      <w:r>
        <w:rPr>
          <w:rStyle w:val="VerbatimChar"/>
        </w:rPr>
        <w:t xml:space="preserve">11.4.95</w:t>
      </w:r>
      <w:r>
        <w:t xml:space="preserve">,</w:t>
      </w:r>
      <w:r>
        <w:t xml:space="preserve"> </w:t>
      </w:r>
      <w:r>
        <w:rPr>
          <w:rStyle w:val="VerbatimChar"/>
        </w:rPr>
        <w:t xml:space="preserve">11.4.96</w:t>
      </w:r>
      <w:r>
        <w:t xml:space="preserve">,</w:t>
      </w:r>
      <w:r>
        <w:t xml:space="preserve"> </w:t>
      </w:r>
      <w:r>
        <w:rPr>
          <w:rStyle w:val="VerbatimChar"/>
        </w:rPr>
        <w:t xml:space="preserve">11.4.97</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 operator mandate 2026-05-27: "We should not git ignore our workable items database since it is our single source of truth regarding items we have to do on the project!". This is a deliberate Herald divergence from the parent §11.4.93 gitignored-with-regeneration default: for Herald the DB IS the authoritative artefact, so it is committed and version-controlled, NOT regenerated-on-clone; only the transient SQLite WAL/SHM sidecars (</w:t>
      </w:r>
      <w:r>
        <w:rPr>
          <w:rStyle w:val="VerbatimChar"/>
        </w:rPr>
        <w:t xml:space="preserve">docs/.workable_items.db-wal</w:t>
      </w:r>
      <w:r>
        <w:t xml:space="preserve"> </w:t>
      </w:r>
      <w:r>
        <w:t xml:space="preserve">/</w:t>
      </w:r>
      <w:r>
        <w:t xml:space="preserve"> </w:t>
      </w:r>
      <w:r>
        <w:rPr>
          <w:rStyle w:val="VerbatimChar"/>
        </w:rPr>
        <w:t xml:space="preserve">-shm</w:t>
      </w:r>
      <w:r>
        <w:t xml:space="preserve">) stay gitignored)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bookmarkEnd w:id="28"/>
    <w:bookmarkStart w:id="29" w:name="X4001691c960f7ca8b754378bbbefad812903513"/>
    <w:p>
      <w:pPr>
        <w:pStyle w:val="Heading4"/>
      </w:pPr>
      <w:r>
        <w:t xml:space="preserve">§108.j. Workable-items SQLite DB is TRACKED in git, never gitignored (extends Universal §11.4.95; Helix 2026-05-27)</w:t>
      </w:r>
    </w:p>
    <w:p>
      <w:pPr>
        <w:pStyle w:val="FirstParagraph"/>
      </w:pPr>
      <w:r>
        <w:rPr>
          <w:b/>
          <w:bCs/>
        </w:rPr>
        <w:t xml:space="preserve">Forensic anchor — verbatim user mandate (2026-05-27, condensed):</w:t>
      </w:r>
    </w:p>
    <w:p>
      <w:pPr>
        <w:pStyle w:val="BlockText"/>
      </w:pPr>
      <w:r>
        <w:t xml:space="preserve">"We should not git ignore our workable items database since it is our single source of truth regarding items we have to do on the project! — it must be committed and pushed, never regenerated-on-clone, and never silently rewritten without a backup."</w:t>
      </w:r>
    </w:p>
    <w:p>
      <w:pPr>
        <w:pStyle w:val="FirstParagraph"/>
      </w:pPr>
      <w:r>
        <w:rPr>
          <w:b/>
          <w:bCs/>
        </w:rPr>
        <w:t xml:space="preserve">Canonical authority.</w:t>
      </w:r>
      <w:r>
        <w:t xml:space="preserve"> </w:t>
      </w:r>
      <w:r>
        <w:t xml:space="preserve">Helix Universal Constitution §11.4.95. Herald §108.j is the project-binding restatement.</w:t>
      </w:r>
    </w:p>
    <w:p>
      <w:pPr>
        <w:pStyle w:val="BodyText"/>
      </w:pPr>
      <w:r>
        <w:rPr>
          <w:b/>
          <w:bCs/>
        </w:rPr>
        <w:t xml:space="preserve">Operative rule (Herald-binding).</w:t>
      </w:r>
      <w:r>
        <w:t xml:space="preserve"> </w:t>
      </w: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 SQLite</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 (which Herald had already diverged from per the same operator mandate).</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escape exists.</w:t>
      </w:r>
    </w:p>
    <w:bookmarkEnd w:id="29"/>
    <w:bookmarkStart w:id="30" w:name="Xbdf56c25169ba02c690c17fccfb2c819b00143c"/>
    <w:p>
      <w:pPr>
        <w:pStyle w:val="Heading4"/>
      </w:pPr>
      <w:r>
        <w:t xml:space="preserve">§108.k. Safe-parallel-work-with-long-build catalogue + mandate (extends Universal §11.4.96; Helix 2026-05-27)</w:t>
      </w:r>
    </w:p>
    <w:p>
      <w:pPr>
        <w:pStyle w:val="FirstParagraph"/>
      </w:pPr>
      <w:r>
        <w:rPr>
          <w:b/>
          <w:bCs/>
        </w:rPr>
        <w:t xml:space="preserve">Forensic anchor — verbatim user mandate (2026-05-27, condensed):</w:t>
      </w:r>
    </w:p>
    <w:p>
      <w:pPr>
        <w:pStyle w:val="BlockText"/>
      </w:pPr>
      <w:r>
        <w:t xml:space="preserve">"while a long build or long-running operation is going, do not sit idle — there is a whole catalogue of work that is safe to do in parallel, so consult it and dispatch the safe non-contending items, and only avoid the things that would collide with the running operation."</w:t>
      </w:r>
    </w:p>
    <w:p>
      <w:pPr>
        <w:pStyle w:val="FirstParagraph"/>
      </w:pPr>
      <w:r>
        <w:rPr>
          <w:b/>
          <w:bCs/>
        </w:rPr>
        <w:t xml:space="preserve">Canonical authority.</w:t>
      </w:r>
      <w:r>
        <w:t xml:space="preserve"> </w:t>
      </w:r>
      <w:r>
        <w:t xml:space="preserve">Helix Universal Constitution §11.4.96. Herald §108.k is the project-binding restatement.</w:t>
      </w:r>
    </w:p>
    <w:p>
      <w:pPr>
        <w:pStyle w:val="BodyText"/>
      </w:pPr>
      <w:r>
        <w:rPr>
          <w:b/>
          <w:bCs/>
        </w:rPr>
        <w:t xml:space="preserve">Operative rule (Herald-binding).</w:t>
      </w:r>
      <w:r>
        <w:t xml:space="preserve"> </w:t>
      </w: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§108.a /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 / §11.4.84):</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(composes with §108.d / §11.4.89 single-gate serialisation), host-session-safety breaches (§12). Subagent-driven default per §11.4.20 / §11.4.70. This is the catalogue that makes §108.i / §11.4.94 (zero-idle parallel-by-default) concrete during Herald's longest-running operations.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escape exists.</w:t>
      </w:r>
    </w:p>
    <w:bookmarkEnd w:id="30"/>
    <w:bookmarkStart w:id="31" w:name="X7e6b64e3147d89d521fb91120f9cafc6e675a92"/>
    <w:p>
      <w:pPr>
        <w:pStyle w:val="Heading4"/>
      </w:pPr>
      <w:r>
        <w:t xml:space="preserve">§108.l. Maximum-use-of-idle-time mandate + progress-update cadence (extends Universal §11.4.97; Helix 2026-05-27)</w:t>
      </w:r>
    </w:p>
    <w:p>
      <w:pPr>
        <w:pStyle w:val="FirstParagraph"/>
      </w:pPr>
      <w:r>
        <w:rPr>
          <w:b/>
          <w:bCs/>
        </w:rPr>
        <w:t xml:space="preserve">Forensic anchor — verbatim user mandate (2026-05-27, condensed):</w:t>
      </w:r>
    </w:p>
    <w:p>
      <w:pPr>
        <w:pStyle w:val="BlockText"/>
      </w:pPr>
      <w:r>
        <w:t xml:space="preserve">"use every minute of idle time to move work forward — and keep me posted with short progress updates at each milestone without me having to ask, always backed by real captured evidence for anything you mark done."</w:t>
      </w:r>
    </w:p>
    <w:p>
      <w:pPr>
        <w:pStyle w:val="FirstParagraph"/>
      </w:pPr>
      <w:r>
        <w:rPr>
          <w:b/>
          <w:bCs/>
        </w:rPr>
        <w:t xml:space="preserve">Canonical authority.</w:t>
      </w:r>
      <w:r>
        <w:t xml:space="preserve"> </w:t>
      </w:r>
      <w:r>
        <w:t xml:space="preserve">Helix Universal Constitution §11.4.97. Herald §108.l is the project-binding restatement.</w:t>
      </w:r>
    </w:p>
    <w:p>
      <w:pPr>
        <w:pStyle w:val="BodyText"/>
      </w:pPr>
      <w:r>
        <w:rPr>
          <w:b/>
          <w:bCs/>
        </w:rPr>
        <w:t xml:space="preserve">Operative rule (Herald-binding).</w:t>
      </w:r>
      <w:r>
        <w:t xml:space="preserve"> </w:t>
      </w:r>
      <w:r>
        <w:t xml:space="preserve">(A)</w:t>
      </w:r>
      <w:r>
        <w:t xml:space="preserve"> </w:t>
      </w:r>
      <w:r>
        <w:rPr>
          <w:b/>
          <w:bCs/>
        </w:rPr>
        <w:t xml:space="preserve">Maximum-use-of-idle-time</w:t>
      </w:r>
      <w:r>
        <w:t xml:space="preserve"> </w:t>
      </w:r>
      <w:r>
        <w:t xml:space="preserve">— every minute of conductor idle time during which progressable, non-externally-blocked work exists is a violation; the conductor dispatches work continuously through the whole idle window, not just at scheduled wakes (the temporal extension of §108.i / §11.4.94 and §108.k / §11.4.96). (B)</w:t>
      </w:r>
      <w:r>
        <w:t xml:space="preserve"> </w:t>
      </w:r>
      <w:r>
        <w:rPr>
          <w:b/>
          <w:bCs/>
        </w:rPr>
        <w:t xml:space="preserve">Progress-update cadence</w:t>
      </w:r>
      <w:r>
        <w:t xml:space="preserve"> </w:t>
      </w:r>
      <w:r>
        <w:t xml:space="preserve">—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 / Obsolete closure. (C)</w:t>
      </w:r>
      <w:r>
        <w:t xml:space="preserve"> </w:t>
      </w:r>
      <w:r>
        <w:rPr>
          <w:b/>
          <w:bCs/>
        </w:rPr>
        <w:t xml:space="preserve">Continuous physical-proof gathering</w:t>
      </w:r>
      <w:r>
        <w:t xml:space="preserve"> </w:t>
      </w:r>
      <w:r>
        <w:t xml:space="preserve">per §11.4.5 / §11.4.6 / §11.4.69 (and §107 / §107.x) — every closed item carries positive captured evidence committed alongside the closure; a "done" with no artefact is a §11.4 / §107 PASS-bluff. (E)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escape exists.</w:t>
      </w:r>
    </w:p>
    <w:p>
      <w:pPr>
        <w:pStyle w:val="BodyText"/>
      </w:pPr>
      <w:r>
        <w:rPr>
          <w:b/>
          <w:bCs/>
        </w:rPr>
        <w:t xml:space="preserve">Propagation (§108.j–§108.l).</w:t>
      </w:r>
      <w:r>
        <w:t xml:space="preserve"> </w:t>
      </w:r>
      <w:r>
        <w:t xml:space="preserve">These three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§11.4.95 / §11.4.96 / §11.4.97 are cascaded into the Helix-stack submodules per §1.1 multi-file propagation discipline. The literal anchors</w:t>
      </w:r>
      <w:r>
        <w:t xml:space="preserve"> </w:t>
      </w:r>
      <w:r>
        <w:rPr>
          <w:rStyle w:val="VerbatimChar"/>
        </w:rPr>
        <w:t xml:space="preserve">11.4.95</w:t>
      </w:r>
      <w:r>
        <w:t xml:space="preserve"> </w:t>
      </w:r>
      <w:r>
        <w:t xml:space="preserve">/</w:t>
      </w:r>
      <w:r>
        <w:t xml:space="preserve"> </w:t>
      </w:r>
      <w:r>
        <w:rPr>
          <w:rStyle w:val="VerbatimChar"/>
        </w:rPr>
        <w:t xml:space="preserve">11.4.96</w:t>
      </w:r>
      <w:r>
        <w:t xml:space="preserve"> </w:t>
      </w:r>
      <w:r>
        <w:t xml:space="preserve">/</w:t>
      </w:r>
      <w:r>
        <w:t xml:space="preserve"> </w:t>
      </w:r>
      <w:r>
        <w:rPr>
          <w:rStyle w:val="VerbatimChar"/>
        </w:rPr>
        <w:t xml:space="preserve">11.4.97</w:t>
      </w:r>
      <w:r>
        <w:t xml:space="preserve"> </w:t>
      </w:r>
      <w:r>
        <w:t xml:space="preserve">are present in all three Herald root docs.</w:t>
      </w:r>
    </w:p>
    <w:p>
      <w:pPr>
        <w:pStyle w:val="BodyText"/>
      </w:pPr>
      <w:r>
        <w:rPr>
          <w:b/>
          <w:bCs/>
        </w:rPr>
        <w:t xml:space="preserve">Non-compliance is a release blocker (§108.j–§108.l).</w:t>
      </w:r>
      <w:r>
        <w:t xml:space="preserve"> </w:t>
      </w:r>
      <w:r>
        <w:t xml:space="preserve">Each sub-clause carries its inherited no-escape-hatch posture: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(§108.j),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(§108.k),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(§108.l).</w:t>
      </w:r>
    </w:p>
    <w:bookmarkEnd w:id="31"/>
    <w:bookmarkStart w:id="32" w:name="X24d3e390cb01b42f7fe7b1baf0a8326b78d5818"/>
    <w:p>
      <w:pPr>
        <w:pStyle w:val="Heading4"/>
      </w:pPr>
      <w:r>
        <w:t xml:space="preserve">§108.m. Full-Automation Anti-Bluff Mandate — Live tests MUST be re-runnable end-to-end without manual intervention (extends Universal §11.4.98; Helix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w:t>
      </w:r>
    </w:p>
    <w:p>
      <w:pPr>
        <w:pStyle w:val="FirstParagraph"/>
      </w:pPr>
      <w:r>
        <w:rPr>
          <w:b/>
          <w:bCs/>
        </w:rPr>
        <w:t xml:space="preserve">Canonical authority.</w:t>
      </w:r>
      <w:r>
        <w:t xml:space="preserve"> </w:t>
      </w:r>
      <w:r>
        <w:t xml:space="preserve">Helix Universal Constitution §11.4.98. Herald §108.m is the project-binding restatement.</w:t>
      </w:r>
    </w:p>
    <w:p>
      <w:pPr>
        <w:pStyle w:val="BodyText"/>
      </w:pPr>
      <w:r>
        <w:rPr>
          <w:b/>
          <w:bCs/>
        </w:rPr>
        <w:t xml:space="preserve">Operative rule (Herald-binding).</w:t>
      </w:r>
      <w:r>
        <w:t xml:space="preserve"> </w:t>
      </w:r>
      <w:r>
        <w:t xml:space="preserve">Every Herald test — unit / integration / e2e / Challenge / stress / chaos / live — MUST be fully self-driving end-to-end with NO human action during execution (operator typing a Telegram message, hand-triggering a webhook, clicking a UI, attaching a file, anything beyond test startup → PASS / FAIL report). A test requiring manual action during execution is</w:t>
      </w:r>
      <w:r>
        <w:t xml:space="preserve"> </w:t>
      </w:r>
      <w:r>
        <w:rPr>
          <w:b/>
          <w:bCs/>
        </w:rPr>
        <w:t xml:space="preserve">by definition a §11.4 / §107 PASS-bluff at the automation layer</w:t>
      </w:r>
      <w:r>
        <w:t xml:space="preserve">, regardless of how thorough the manual run is — it cannot run in CI, cannot validate regressions between manual runs, and the human dependency masks drift. (A)</w:t>
      </w:r>
      <w:r>
        <w:t xml:space="preserve"> </w:t>
      </w:r>
      <w:r>
        <w:rPr>
          <w:b/>
          <w:bCs/>
        </w:rPr>
        <w:t xml:space="preserve">Single permissible exception</w:t>
      </w:r>
      <w:r>
        <w:t xml:space="preserve"> </w:t>
      </w:r>
      <w:r>
        <w:t xml:space="preserve">—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(B)</w:t>
      </w:r>
      <w:r>
        <w:t xml:space="preserve"> </w:t>
      </w:r>
      <w:r>
        <w:rPr>
          <w:b/>
          <w:bCs/>
        </w:rPr>
        <w:t xml:space="preserve">No "operator MUST type a message" prompts</w:t>
      </w:r>
      <w:r>
        <w:t xml:space="preserve"> </w:t>
      </w:r>
      <w:r>
        <w:t xml:space="preserve">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Herald drives programmatically (MTProto user-account for Telegram, real-user-API for Slack, IMAP-test-account for email, webhook fixture, in-process loopback; never human keystrokes during test execution). (C)</w:t>
      </w:r>
      <w:r>
        <w:t xml:space="preserve"> </w:t>
      </w:r>
      <w:r>
        <w:rPr>
          <w:b/>
          <w:bCs/>
        </w:rPr>
        <w:t xml:space="preserve">No</w:t>
      </w:r>
      <w:r>
        <w:rPr>
          <w:b/>
          <w:bCs/>
        </w:rPr>
        <w:t xml:space="preserve"> </w:t>
      </w:r>
      <w:r>
        <w:rPr>
          <w:rStyle w:val="VerbatimChar"/>
          <w:b/>
          <w:bCs/>
        </w:rPr>
        <w:t xml:space="preserve">claude --resume &lt;UUID&gt;</w:t>
      </w:r>
      <w:r>
        <w:rPr>
          <w:b/>
          <w:bCs/>
        </w:rPr>
        <w:t xml:space="preserve"> </w:t>
      </w:r>
      <w:r>
        <w:rPr>
          <w:b/>
          <w:bCs/>
        </w:rPr>
        <w:t xml:space="preserve">collisions</w:t>
      </w:r>
      <w:r>
        <w:t xml:space="preserve"> </w:t>
      </w:r>
      <w:r>
        <w:t xml:space="preserve">— test runs MUST use a dedicated test-only session UUID that the production / dev session is NOT simultaneously using. Herald 2026-05-28 lesson encoded: same-UUID resume returns silent exit -1 with no output. (D)</w:t>
      </w:r>
      <w:r>
        <w:t xml:space="preserve"> </w:t>
      </w:r>
      <w:r>
        <w:rPr>
          <w:b/>
          <w:bCs/>
        </w:rPr>
        <w:t xml:space="preserve">No 60-second human-response windows</w:t>
      </w:r>
      <w:r>
        <w:t xml:space="preserve"> </w:t>
      </w:r>
      <w:r>
        <w:t xml:space="preserve">— these are §11.4.50 determinism violations: a single test invocation's PASS / FAIL depends on a human reaction-time variable, not on the code under test. (E)</w:t>
      </w:r>
      <w:r>
        <w:t xml:space="preserve"> </w:t>
      </w:r>
      <w:r>
        <w:rPr>
          <w:b/>
          <w:bCs/>
        </w:rPr>
        <w:t xml:space="preserve">Re-runnability proof</w:t>
      </w:r>
      <w:r>
        <w:t xml:space="preserve"> </w:t>
      </w:r>
      <w:r>
        <w:t xml:space="preserve">— every live test MUST PASS at</w:t>
      </w:r>
      <w:r>
        <w:t xml:space="preserve"> </w:t>
      </w:r>
      <w:r>
        <w:rPr>
          <w:rStyle w:val="VerbatimChar"/>
        </w:rPr>
        <w:t xml:space="preserve">-count=3</w:t>
      </w:r>
      <w:r>
        <w:t xml:space="preserve"> </w:t>
      </w:r>
      <w:r>
        <w:t xml:space="preserve">consecutive automated invocations with self-cleaning state (persistent side effects — chats, files, DB rows, queued events — cleaned by the test in</w:t>
      </w:r>
      <w:r>
        <w:t xml:space="preserve"> </w:t>
      </w:r>
      <w:r>
        <w:rPr>
          <w:rStyle w:val="VerbatimChar"/>
        </w:rPr>
        <w:t xml:space="preserve">defer</w:t>
      </w:r>
      <w:r>
        <w:t xml:space="preserve">/</w:t>
      </w:r>
      <w:r>
        <w:rPr>
          <w:rStyle w:val="VerbatimChar"/>
        </w:rPr>
        <w:t xml:space="preserve">teardown</w:t>
      </w:r>
      <w:r>
        <w:t xml:space="preserve">). (F)</w:t>
      </w:r>
      <w:r>
        <w:t xml:space="preserve"> </w:t>
      </w:r>
      <w:r>
        <w:rPr>
          <w:b/>
          <w:bCs/>
        </w:rPr>
        <w:t xml:space="preserve">§108.m obsolescence audit</w:t>
      </w:r>
      <w:r>
        <w:t xml:space="preserve"> </w:t>
      </w:r>
      <w:r>
        <w:t xml:space="preserve">— every existing Herald test classified COMPLIANT vs NON-COMPLIANT (release-gate item); currently NON-COMPLIANT and scheduled for MTProto-driven rewrite under Wave 8 Track B:</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(G)</w:t>
      </w:r>
      <w:r>
        <w:t xml:space="preserve"> </w:t>
      </w:r>
      <w:r>
        <w:rPr>
          <w:b/>
          <w:bCs/>
        </w:rPr>
        <w:t xml:space="preserve">No false-positive PASS</w:t>
      </w:r>
      <w:r>
        <w:t xml:space="preserve"> </w:t>
      </w:r>
      <w:r>
        <w:t xml:space="preserve">— silent-skip-as-PASS forbidden, stale-evidence forbidden, §11.4.3 SKIP-with-reason is correct. Composes with §107 (anti-bluff) + §107.x (docs/qa evidence mandate) + §108.a (stress + chaos) + §108.b (endless-loop autonomous) + §108.d (background-test) + §108.i (zero-idle parallel). No</w:t>
      </w:r>
      <w:r>
        <w:t xml:space="preserve"> </w:t>
      </w:r>
      <w:r>
        <w:rPr>
          <w:rStyle w:val="VerbatimChar"/>
        </w:rPr>
        <w:t xml:space="preserve">--manual-test-OK</w:t>
      </w:r>
      <w:r>
        <w:t xml:space="preserve"> </w:t>
      </w:r>
      <w:r>
        <w:t xml:space="preserve">/</w:t>
      </w:r>
      <w:r>
        <w:t xml:space="preserve"> </w:t>
      </w:r>
      <w:r>
        <w:rPr>
          <w:rStyle w:val="VerbatimChar"/>
        </w:rPr>
        <w:t xml:space="preserve">--skip-114-98-audit</w:t>
      </w:r>
      <w:r>
        <w:t xml:space="preserve"> </w:t>
      </w:r>
      <w:r>
        <w:t xml:space="preserve">/</w:t>
      </w:r>
      <w:r>
        <w:t xml:space="preserve"> </w:t>
      </w:r>
      <w:r>
        <w:rPr>
          <w:rStyle w:val="VerbatimChar"/>
        </w:rPr>
        <w:t xml:space="preserve">--bluff-tolerance-temporary</w:t>
      </w:r>
      <w:r>
        <w:t xml:space="preserve"> </w:t>
      </w:r>
      <w:r>
        <w:t xml:space="preserve">escape exists.</w:t>
      </w:r>
    </w:p>
    <w:p>
      <w:pPr>
        <w:pStyle w:val="BodyText"/>
      </w:pPr>
      <w:r>
        <w:rPr>
          <w:b/>
          <w:bCs/>
        </w:rPr>
        <w:t xml:space="preserve">Propagation.</w:t>
      </w:r>
      <w:r>
        <w:t xml:space="preserve"> </w:t>
      </w:r>
      <w:r>
        <w:t xml:space="preserve">§108.m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§11.4.98 is cascaded into the Helix-stack submodules per §1.1 multi-file propagation discipline. The literal anchor</w:t>
      </w:r>
      <w:r>
        <w:t xml:space="preserve"> </w:t>
      </w:r>
      <w:r>
        <w:rPr>
          <w:rStyle w:val="VerbatimChar"/>
        </w:rPr>
        <w:t xml:space="preserve">11.4.98</w:t>
      </w:r>
      <w:r>
        <w:t xml:space="preserve"> </w:t>
      </w:r>
      <w:r>
        <w:t xml:space="preserve">MUST appear in all three Herald root docs; the §11.4.98 pre-build gate</w:t>
      </w:r>
      <w:r>
        <w:t xml:space="preserve"> </w:t>
      </w:r>
      <w:r>
        <w:rPr>
          <w:rStyle w:val="VerbatimChar"/>
        </w:rPr>
        <w:t xml:space="preserve">CM-COVENANT-114-98-PROPAGATION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a test that requires manual human action during execution is blocked at release-gate. A NON-COMPLIANT test that has not been rewritten within 30 days of classification graduates to §108.e (§11.4.90 Obsolete) and is removed from the active test suite (not deleted — preserved with</w:t>
      </w:r>
      <w:r>
        <w:t xml:space="preserve"> </w:t>
      </w:r>
      <w:r>
        <w:rPr>
          <w:rStyle w:val="VerbatimChar"/>
        </w:rPr>
        <w:t xml:space="preserve">Obsolete-Details:</w:t>
      </w:r>
      <w:r>
        <w:t xml:space="preserve"> </w:t>
      </w:r>
      <w:r>
        <w:t xml:space="preserve">citing §108.m / §11.4.98 as the obsolescence reason).</w:t>
      </w:r>
    </w:p>
    <w:bookmarkEnd w:id="32"/>
    <w:bookmarkStart w:id="33" w:name="Xe6eb363c21f190196dfb19c3e517cb6c16b189c"/>
    <w:p>
      <w:pPr>
        <w:pStyle w:val="Heading4"/>
      </w:pPr>
      <w:r>
        <w:t xml:space="preserve">§108.n. Latest-Source Documentation Cross-Reference Mandate (extends Universal §11.4.99; Helix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Canonical authority.</w:t>
      </w:r>
      <w:r>
        <w:t xml:space="preserve"> </w:t>
      </w:r>
      <w:r>
        <w:t xml:space="preserve">Helix Universal Constitution §11.4.99. Herald §108.n is the project-binding restatement.</w:t>
      </w:r>
    </w:p>
    <w:p>
      <w:pPr>
        <w:pStyle w:val="BodyText"/>
      </w:pPr>
      <w:r>
        <w:rPr>
          <w:b/>
          <w:bCs/>
        </w:rPr>
        <w:t xml:space="preserve">Anchoring case study (Herald 2026-05-28).</w:t>
      </w:r>
      <w:r>
        <w:t xml:space="preserve"> </w:t>
      </w:r>
      <w:r>
        <w:t xml:space="preserve">The first-draft MTProto setup guide (commits</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AND omitted the</w:t>
      </w:r>
      <w:r>
        <w:t xml:space="preserve"> </w:t>
      </w:r>
      <w:r>
        <w:rPr>
          <w:rStyle w:val="VerbatimChar"/>
        </w:rPr>
        <w:t xml:space="preserve">recover@telegram.org</w:t>
      </w:r>
      <w:r>
        <w:t xml:space="preserve"> </w:t>
      </w:r>
      <w:r>
        <w:t xml:space="preserve">pre-login email step. Both directly contradicted (a) Telegram's official docs at</w:t>
      </w:r>
      <w:r>
        <w:t xml:space="preserve"> </w:t>
      </w:r>
      <w:r>
        <w:rPr>
          <w:rStyle w:val="VerbatimChar"/>
        </w:rPr>
        <w:t xml:space="preserve">https://core.telegram.org/api/obtaining_api_id</w:t>
      </w:r>
      <w:r>
        <w:t xml:space="preserve"> </w:t>
      </w:r>
      <w:r>
        <w:t xml:space="preserve">and (b) the gotd/td maintainer's "How to not get banned?" guidance vendored at</w:t>
      </w:r>
      <w:r>
        <w:t xml:space="preserve"> </w:t>
      </w:r>
      <w:r>
        <w:rPr>
          <w:rStyle w:val="VerbatimChar"/>
        </w:rPr>
        <w:t xml:space="preserve">submodules/gotd-td/.github/SUPPORT.md</w:t>
      </w:r>
      <w:r>
        <w:t xml:space="preserve">. An operator following the original guide could have had their Telegram account permanently banned. The corrected guide landed at commit</w:t>
      </w:r>
      <w:r>
        <w:t xml:space="preserve"> </w:t>
      </w:r>
      <w:r>
        <w:rPr>
          <w:rStyle w:val="VerbatimChar"/>
        </w:rPr>
        <w:t xml:space="preserve">8470ba7</w:t>
      </w:r>
      <w:r>
        <w:t xml:space="preserve"> </w:t>
      </w:r>
      <w:r>
        <w:t xml:space="preserve">after a forced cross-reference. This is forensic evidence that misguidance-by-stale-docs is the same severity class as a §11.4 / §107 PASS-bluff at the documentation layer.</w:t>
      </w:r>
    </w:p>
    <w:p>
      <w:pPr>
        <w:pStyle w:val="BodyText"/>
      </w:pPr>
      <w:r>
        <w:rPr>
          <w:b/>
          <w:bCs/>
        </w:rPr>
        <w:t xml:space="preserve">Operative rule (Herald-binding).</w:t>
      </w:r>
      <w:r>
        <w:t xml:space="preserve"> </w:t>
      </w: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 the present</w:t>
      </w:r>
      <w:r>
        <w:t xml:space="preserve"> </w:t>
      </w:r>
      <w:r>
        <w:rPr>
          <w:rStyle w:val="VerbatimChar"/>
        </w:rPr>
        <w:t xml:space="preserve">HERALD_CONSTITUTION.md</w:t>
      </w:r>
      <w:r>
        <w:t xml:space="preserve">, integration setup walkthroughs, credential acquisition guides, security configuration docs — MUST be cross-referenced against the LATEST official online documentation of every external service / library it touches BEFORE the commit lands.</w:t>
      </w:r>
    </w:p>
    <w:p>
      <w:pPr>
        <w:pStyle w:val="BodyText"/>
      </w:pPr>
      <w:r>
        <w:rPr>
          <w:b/>
          <w:bCs/>
        </w:rPr>
        <w:t xml:space="preserve">(A) Pre-commit cross-reference workflow.</w:t>
      </w:r>
      <w:r>
        <w:t xml:space="preserve"> </w:t>
      </w:r>
      <w:r>
        <w:t xml:space="preserve">The Herald author MUST:</w:t>
      </w:r>
    </w:p>
    <w:p>
      <w:pPr>
        <w:pStyle w:val="Compact"/>
        <w:numPr>
          <w:ilvl w:val="0"/>
          <w:numId w:val="1008"/>
        </w:numPr>
      </w:pPr>
      <w:r>
        <w:rPr>
          <w:b/>
          <w:bCs/>
        </w:rPr>
        <w:t xml:space="preserve">Fetch the latest official online docs</w:t>
      </w:r>
      <w:r>
        <w:t xml:space="preserve"> </w:t>
      </w:r>
      <w:r>
        <w:t xml:space="preserve">of every third-party service / library the new document references via WebFetch / MCP / direct browsing / equivalent authoritative real-time source. Do NOT rely on training data, memory, prior assumptions, or older committed Herald docs as the source of truth.</w:t>
      </w:r>
    </w:p>
    <w:p>
      <w:pPr>
        <w:pStyle w:val="Compact"/>
        <w:numPr>
          <w:ilvl w:val="0"/>
          <w:numId w:val="1008"/>
        </w:numPr>
      </w:pPr>
      <w:r>
        <w:rPr>
          <w:b/>
          <w:bCs/>
        </w:rPr>
        <w:t xml:space="preserve">Cross-reference each instruction in the new document</w:t>
      </w:r>
      <w:r>
        <w:t xml:space="preserve"> </w:t>
      </w:r>
      <w:r>
        <w:t xml:space="preserve">against that source. For each step the operator will take, verify: (a) the service still supports that action; (b) form fields / parameters / endpoints are still the same; (c) any new constraints, deprecations, ToS changes, or warnings the service published since the doc's last verification.</w:t>
      </w:r>
    </w:p>
    <w:p>
      <w:pPr>
        <w:pStyle w:val="Compact"/>
        <w:numPr>
          <w:ilvl w:val="0"/>
          <w:numId w:val="1008"/>
        </w:numPr>
      </w:pPr>
      <w:r>
        <w:rPr>
          <w:b/>
          <w:bCs/>
        </w:rPr>
        <w:t xml:space="preserve">Seek secondary authoritative sources</w:t>
      </w:r>
      <w:r>
        <w:t xml:space="preserve"> </w:t>
      </w:r>
      <w:r>
        <w:t xml:space="preserve">when the official documentation is sparse / silent on a critical requirement. Examples: the library maintainer's</w:t>
      </w:r>
      <w:r>
        <w:t xml:space="preserve"> </w:t>
      </w:r>
      <w:r>
        <w:rPr>
          <w:rStyle w:val="VerbatimChar"/>
        </w:rPr>
        <w:t xml:space="preserve">submodules/&lt;lib&gt;/{README,SUPPORT,SECURITY}.md</w:t>
      </w:r>
      <w:r>
        <w:t xml:space="preserve">, the service's official changelog / blog, the service's official support channels' responses, community-vetted FAQs.</w:t>
      </w:r>
    </w:p>
    <w:p>
      <w:pPr>
        <w:pStyle w:val="Compact"/>
        <w:numPr>
          <w:ilvl w:val="0"/>
          <w:numId w:val="1008"/>
        </w:numPr>
      </w:pPr>
      <w:r>
        <w:rPr>
          <w:b/>
          <w:bCs/>
        </w:rPr>
        <w:t xml:space="preserve">Cite source URLs + date checked</w:t>
      </w:r>
      <w:r>
        <w:t xml:space="preserve"> </w:t>
      </w:r>
      <w:r>
        <w:t xml:space="preserve">at the bottom of the document 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w:t>
      </w:r>
    </w:p>
    <w:p>
      <w:pPr>
        <w:pStyle w:val="Compact"/>
        <w:numPr>
          <w:ilvl w:val="0"/>
          <w:numId w:val="1008"/>
        </w:numPr>
      </w:pPr>
      <w:r>
        <w:rPr>
          <w:b/>
          <w:bCs/>
        </w:rPr>
        <w:t xml:space="preserve">Cite the cross-reference in the commit message footer</w:t>
      </w:r>
      <w:r>
        <w:t xml:space="preserve"> </w:t>
      </w:r>
      <w:r>
        <w:t xml:space="preserve">as a</w:t>
      </w:r>
      <w:r>
        <w:t xml:space="preserve"> </w:t>
      </w:r>
      <w:r>
        <w:rPr>
          <w:rStyle w:val="VerbatimChar"/>
        </w:rPr>
        <w:t xml:space="preserve">Sources verified &lt;date&gt;: &lt;urls&gt;</w:t>
      </w:r>
      <w:r>
        <w:t xml:space="preserve"> </w:t>
      </w:r>
      <w:r>
        <w:t xml:space="preserve">line so the audit trail is reachable via</w:t>
      </w:r>
      <w:r>
        <w:t xml:space="preserve"> </w:t>
      </w:r>
      <w:r>
        <w:rPr>
          <w:rStyle w:val="VerbatimChar"/>
        </w:rPr>
        <w:t xml:space="preserve">git log</w:t>
      </w:r>
      <w:r>
        <w:t xml:space="preserve">.</w:t>
      </w:r>
    </w:p>
    <w:p>
      <w:pPr>
        <w:pStyle w:val="FirstParagraph"/>
      </w:pPr>
      <w:r>
        <w:rPr>
          <w:b/>
          <w:bCs/>
        </w:rPr>
        <w:t xml:space="preserve">(B) Negative-finding documentation is required.</w:t>
      </w:r>
      <w:r>
        <w:t xml:space="preserve"> </w:t>
      </w:r>
      <w:r>
        <w:t xml:space="preserve">If the cross-reference reveals the official source is silent / contradictory / outdated, the Herald document MUST explicitly note that gap so the next reader does not assume the absence of contradiction means authoritative agreement. The author MAY proceed with the best-available secondary sources, but MUST document the methodology.</w:t>
      </w:r>
    </w:p>
    <w:p>
      <w:pPr>
        <w:pStyle w:val="BodyText"/>
      </w:pPr>
      <w:r>
        <w:rPr>
          <w:b/>
          <w:bCs/>
        </w:rPr>
        <w:t xml:space="preserve">(C) Re-verification cadence.</w:t>
      </w:r>
    </w:p>
    <w:p>
      <w:pPr>
        <w:pStyle w:val="Compact"/>
        <w:numPr>
          <w:ilvl w:val="0"/>
          <w:numId w:val="1009"/>
        </w:numPr>
      </w:pPr>
      <w:r>
        <w:rPr>
          <w:b/>
          <w:bCs/>
        </w:rPr>
        <w:t xml:space="preserve">6-month default staleness.</w:t>
      </w:r>
      <w:r>
        <w:t xml:space="preserve"> </w:t>
      </w:r>
      <w:r>
        <w:t xml:space="preserve">Herald documents older than 6 months without re-verification are STALE — operators MUST NOT trust them for fresh action without re-running the cross-reference.</w:t>
      </w:r>
    </w:p>
    <w:p>
      <w:pPr>
        <w:pStyle w:val="Compact"/>
        <w:numPr>
          <w:ilvl w:val="0"/>
          <w:numId w:val="1009"/>
        </w:numPr>
      </w:pPr>
      <w:r>
        <w:rPr>
          <w:b/>
          <w:bCs/>
        </w:rPr>
        <w:t xml:space="preserve">90-day staleness for risk-classified services</w:t>
      </w:r>
      <w:r>
        <w:t xml:space="preserve"> </w:t>
      </w:r>
      <w:r>
        <w:t xml:space="preserve">(per §(D) below).</w:t>
      </w:r>
    </w:p>
    <w:p>
      <w:pPr>
        <w:pStyle w:val="Compact"/>
        <w:numPr>
          <w:ilvl w:val="0"/>
          <w:numId w:val="1009"/>
        </w:numPr>
      </w:pPr>
      <w:r>
        <w:rPr>
          <w:b/>
          <w:bCs/>
        </w:rPr>
        <w:t xml:space="preserve">Triggered re-verification</w:t>
      </w:r>
      <w:r>
        <w:t xml:space="preserve"> </w:t>
      </w:r>
      <w:r>
        <w:t xml:space="preserve">before being cited as the authority for an operator-action campaign, at every vN.0.0 Herald release boundary, on service breaking-change announcements, and when an operator reports an error following the guide (auto-triggers re-verification).</w:t>
      </w:r>
    </w:p>
    <w:p>
      <w:pPr>
        <w:pStyle w:val="FirstParagraph"/>
      </w:pPr>
      <w:r>
        <w:rPr>
          <w:b/>
          <w:bCs/>
        </w:rPr>
        <w:t xml:space="preserve">(D) Service-specific risk-classifications for Herald.</w:t>
      </w:r>
      <w:r>
        <w:t xml:space="preserve"> </w:t>
      </w:r>
      <w:r>
        <w:t xml:space="preserve">Herald documentation for the following service families MUST include explicit safety warnings cross-referenced against the latest published policies, with a</w:t>
      </w:r>
      <w:r>
        <w:t xml:space="preserve"> </w:t>
      </w:r>
      <w:r>
        <w:rPr>
          <w:rStyle w:val="VerbatimChar"/>
        </w:rPr>
        <w:t xml:space="preserve">Sources verified</w:t>
      </w:r>
      <w:r>
        <w:t xml:space="preserve"> </w:t>
      </w:r>
      <w:r>
        <w:t xml:space="preserve">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 family Herald uses</w:t>
            </w:r>
          </w:p>
        </w:tc>
        <w:tc>
          <w:tcPr/>
          <w:p>
            <w:pPr>
              <w:pStyle w:val="Compact"/>
            </w:pPr>
            <w:r>
              <w:t xml:space="preserve">Risks Herald documentation MUST address</w:t>
            </w:r>
          </w:p>
        </w:tc>
      </w:tr>
      <w:tr>
        <w:tc>
          <w:tcPr/>
          <w:p>
            <w:pPr>
              <w:pStyle w:val="Compact"/>
            </w:pPr>
            <w:r>
              <w:rPr>
                <w:b/>
                <w:bCs/>
              </w:rPr>
              <w:t xml:space="preserve">Telegram (Bot API + MTProto)</w:t>
            </w:r>
            <w:r>
              <w:t xml:space="preserve"> </w:t>
            </w:r>
            <w:r>
              <w:t xml:space="preserve">—</w:t>
            </w:r>
            <w:r>
              <w:t xml:space="preserve"> </w:t>
            </w:r>
            <w:r>
              <w:rPr>
                <w:rStyle w:val="VerbatimChar"/>
              </w:rPr>
              <w:t xml:space="preserve">commons_messaging/channels/tgram</w:t>
            </w:r>
            <w:r>
              <w:t xml:space="preserve">,</w:t>
            </w:r>
            <w:r>
              <w:t xml:space="preserve"> </w:t>
            </w:r>
            <w:r>
              <w:rPr>
                <w:rStyle w:val="VerbatimChar"/>
              </w:rPr>
              <w:t xml:space="preserve">qaherald/internal/mtproto</w:t>
            </w:r>
            <w:r>
              <w:t xml:space="preserve">,</w:t>
            </w:r>
            <w:r>
              <w:t xml:space="preserve"> </w:t>
            </w:r>
            <w:r>
              <w:rPr>
                <w:rStyle w:val="VerbatimChar"/>
              </w:rPr>
              <w:t xml:space="preserve">submodules/telebot</w:t>
            </w:r>
            <w:r>
              <w:t xml:space="preserve">,</w:t>
            </w:r>
            <w:r>
              <w:t xml:space="preserve"> </w:t>
            </w:r>
            <w:r>
              <w:rPr>
                <w:rStyle w:val="VerbatimChar"/>
              </w:rPr>
              <w:t xml:space="preserve">submodules/gotd-td</w:t>
            </w:r>
          </w:p>
        </w:tc>
        <w:tc>
          <w:tcPr/>
          <w:p>
            <w:pPr>
              <w:pStyle w:val="Compact"/>
            </w:pPr>
            <w:r>
              <w:t xml:space="preserve">Anti-abuse-system observation; one-phone-one-app-id limits; ban-on-VoIP policies; rate-limit floods; user-impersonation risks; pre-login</w:t>
            </w:r>
            <w:r>
              <w:t xml:space="preserve"> </w:t>
            </w:r>
            <w:r>
              <w:rPr>
                <w:rStyle w:val="VerbatimChar"/>
              </w:rPr>
              <w:t xml:space="preserve">recover@telegram.org</w:t>
            </w:r>
            <w:r>
              <w:t xml:space="preserve"> </w:t>
            </w:r>
            <w:r>
              <w:t xml:space="preserve">declaration emails.</w:t>
            </w:r>
          </w:p>
        </w:tc>
      </w:tr>
      <w:tr>
        <w:tc>
          <w:tcPr/>
          <w:p>
            <w:pPr>
              <w:pStyle w:val="Compact"/>
            </w:pPr>
            <w:r>
              <w:rPr>
                <w:b/>
                <w:bCs/>
              </w:rPr>
              <w:t xml:space="preserve">Slack</w:t>
            </w:r>
            <w:r>
              <w:t xml:space="preserve"> </w:t>
            </w:r>
            <w:r>
              <w:t xml:space="preserve">—</w:t>
            </w:r>
            <w:r>
              <w:t xml:space="preserve"> </w:t>
            </w:r>
            <w:r>
              <w:rPr>
                <w:rStyle w:val="VerbatimChar"/>
              </w:rPr>
              <w:t xml:space="preserve">commons_messaging/channels/slack</w:t>
            </w:r>
            <w:r>
              <w:t xml:space="preserve">,</w:t>
            </w:r>
            <w:r>
              <w:t xml:space="preserve"> </w:t>
            </w:r>
            <w:r>
              <w:rPr>
                <w:rStyle w:val="VerbatimChar"/>
              </w:rPr>
              <w:t xml:space="preserve">submodules/slack-go</w:t>
            </w:r>
          </w:p>
        </w:tc>
        <w:tc>
          <w:tcPr/>
          <w:p>
            <w:pPr>
              <w:pStyle w:val="Compact"/>
            </w:pPr>
            <w:r>
              <w:t xml:space="preserve">Token revocation policies (xoxb-, xapp- prefixes); rate-limit Tier 4 endpoints; Socket Mode app-token requirements; OAuth scopes; workspace owner permissions.</w:t>
            </w:r>
          </w:p>
        </w:tc>
      </w:tr>
      <w:tr>
        <w:tc>
          <w:tcPr/>
          <w:p>
            <w:pPr>
              <w:pStyle w:val="Compact"/>
            </w:pPr>
            <w:r>
              <w:rPr>
                <w:b/>
                <w:bCs/>
              </w:rPr>
              <w:t xml:space="preserve">Claude Code / Anthropic API</w:t>
            </w:r>
            <w:r>
              <w:t xml:space="preserve"> </w:t>
            </w:r>
            <w:r>
              <w:t xml:space="preserve">—</w:t>
            </w:r>
            <w:r>
              <w:t xml:space="preserve"> </w:t>
            </w:r>
            <w:r>
              <w:rPr>
                <w:rStyle w:val="VerbatimChar"/>
              </w:rPr>
              <w:t xml:space="preserve">commons_messaging/dispatch/claude_code</w:t>
            </w:r>
          </w:p>
        </w:tc>
        <w:tc>
          <w:tcPr/>
          <w:p>
            <w:pPr>
              <w:pStyle w:val="Compact"/>
            </w:pPr>
            <w:r>
              <w:t xml:space="preserve">ToS violation triggers; rate-limit + quota policies; session UUID handling (Herald 2026-05-28 lesson: dev-session collision); data-retention defaults; PII-in-prompt risks; model-name pinning (</w:t>
            </w:r>
            <w:r>
              <w:rPr>
                <w:rStyle w:val="VerbatimChar"/>
              </w:rPr>
              <w:t xml:space="preserve">claude-opus-4-7</w:t>
            </w:r>
            <w:r>
              <w:t xml:space="preserve">).</w:t>
            </w:r>
          </w:p>
        </w:tc>
      </w:tr>
      <w:tr>
        <w:tc>
          <w:tcPr/>
          <w:p>
            <w:pPr>
              <w:pStyle w:val="Compact"/>
            </w:pPr>
            <w:r>
              <w:rPr>
                <w:b/>
                <w:bCs/>
              </w:rPr>
              <w:t xml:space="preserve">Postgres / Redis / container infrastructure</w:t>
            </w:r>
            <w:r>
              <w:t xml:space="preserve"> </w:t>
            </w:r>
            <w:r>
              <w:t xml:space="preserve">—</w:t>
            </w:r>
            <w:r>
              <w:t xml:space="preserve"> </w:t>
            </w:r>
            <w:r>
              <w:rPr>
                <w:rStyle w:val="VerbatimChar"/>
              </w:rPr>
              <w:t xml:space="preserve">commons_infra</w:t>
            </w:r>
            <w:r>
              <w:t xml:space="preserve">,</w:t>
            </w:r>
            <w:r>
              <w:t xml:space="preserve"> </w:t>
            </w:r>
            <w:r>
              <w:rPr>
                <w:rStyle w:val="VerbatimChar"/>
              </w:rPr>
              <w:t xml:space="preserve">commons_storage</w:t>
            </w:r>
            <w:r>
              <w:t xml:space="preserve">,</w:t>
            </w:r>
            <w:r>
              <w:t xml:space="preserve"> </w:t>
            </w:r>
            <w:r>
              <w:rPr>
                <w:rStyle w:val="VerbatimChar"/>
              </w:rPr>
              <w:t xml:space="preserve">submodules/database</w:t>
            </w:r>
            <w:r>
              <w:t xml:space="preserve">,</w:t>
            </w:r>
            <w:r>
              <w:t xml:space="preserve"> </w:t>
            </w:r>
            <w:r>
              <w:rPr>
                <w:rStyle w:val="VerbatimChar"/>
              </w:rPr>
              <w:t xml:space="preserve">containers/</w:t>
            </w:r>
          </w:p>
        </w:tc>
        <w:tc>
          <w:tcPr/>
          <w:p>
            <w:pPr>
              <w:pStyle w:val="Compact"/>
            </w:pPr>
            <w:r>
              <w:t xml:space="preserve">Volume-data-loss policies on container destroy; password-rotation flows; SQLSTATE error semantics; migration ordering.</w:t>
            </w:r>
          </w:p>
        </w:tc>
      </w:tr>
      <w:tr>
        <w:tc>
          <w:tcPr/>
          <w:p>
            <w:pPr>
              <w:pStyle w:val="Compact"/>
            </w:pPr>
            <w:r>
              <w:rPr>
                <w:b/>
                <w:bCs/>
              </w:rPr>
              <w:t xml:space="preserve">Code-hosting (GitHub / GitLab / GitFlic / GitVerse)</w:t>
            </w:r>
            <w:r>
              <w:t xml:space="preserve"> </w:t>
            </w:r>
            <w:r>
              <w:t xml:space="preserve">—</w:t>
            </w:r>
            <w:r>
              <w:t xml:space="preserve"> </w:t>
            </w:r>
            <w:r>
              <w:rPr>
                <w:rStyle w:val="VerbatimChar"/>
              </w:rPr>
              <w:t xml:space="preserve">upstreams/</w:t>
            </w:r>
            <w:r>
              <w:t xml:space="preserve"> </w:t>
            </w:r>
            <w:r>
              <w:t xml:space="preserve">mirror scripts</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w:t>
            </w:r>
            <w:r>
              <w:t xml:space="preserve"> </w:t>
            </w:r>
            <w:r>
              <w:t xml:space="preserve">—</w:t>
            </w:r>
            <w:r>
              <w:t xml:space="preserve"> </w:t>
            </w:r>
            <w:r>
              <w:rPr>
                <w:rStyle w:val="VerbatimChar"/>
              </w:rPr>
              <w:t xml:space="preserve">apt</w:t>
            </w:r>
            <w:r>
              <w:t xml:space="preserve">,</w:t>
            </w:r>
            <w:r>
              <w:t xml:space="preserve"> </w:t>
            </w:r>
            <w:r>
              <w:rPr>
                <w:rStyle w:val="VerbatimChar"/>
              </w:rPr>
              <w:t xml:space="preserve">brew</w:t>
            </w:r>
            <w:r>
              <w:t xml:space="preserve">,</w:t>
            </w:r>
            <w:r>
              <w:t xml:space="preserve"> </w:t>
            </w:r>
            <w:r>
              <w:rPr>
                <w:rStyle w:val="VerbatimChar"/>
              </w:rPr>
              <w:t xml:space="preserve">pip</w:t>
            </w:r>
            <w:r>
              <w:t xml:space="preserve">,</w:t>
            </w:r>
            <w:r>
              <w:t xml:space="preserve"> </w:t>
            </w:r>
            <w:r>
              <w:rPr>
                <w:rStyle w:val="VerbatimChar"/>
              </w:rPr>
              <w:t xml:space="preserve">pandoc</w:t>
            </w:r>
            <w:r>
              <w:t xml:space="preserve">,</w:t>
            </w:r>
            <w:r>
              <w:t xml:space="preserve"> </w:t>
            </w:r>
            <w:r>
              <w:rPr>
                <w:rStyle w:val="VerbatimChar"/>
              </w:rPr>
              <w:t xml:space="preserve">weasyprint</w:t>
            </w:r>
            <w:r>
              <w:t xml:space="preserve">,</w:t>
            </w:r>
            <w:r>
              <w:t xml:space="preserve"> </w:t>
            </w:r>
            <w:r>
              <w:rPr>
                <w:rStyle w:val="VerbatimChar"/>
              </w:rPr>
              <w:t xml:space="preserve">go modules</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in Herald, the §108.n author judges whether the service has comparable risk surface; if yes, the same safety-warning requirement applies.</w:t>
      </w:r>
    </w:p>
    <w:p>
      <w:pPr>
        <w:pStyle w:val="BodyText"/>
      </w:pPr>
      <w:r>
        <w:rPr>
          <w:b/>
          <w:bCs/>
        </w:rPr>
        <w:t xml:space="preserve">(E) Composition.</w:t>
      </w:r>
      <w:r>
        <w:t xml:space="preserve"> </w:t>
      </w:r>
      <w:r>
        <w:t xml:space="preserve">§108.n composes with §107 (anti-bluff), §107.x (docs/qa evidence), §107.y (working-tree quiescence), §108.a (stress + chaos), §108.b (endless-loop autonomous), §108.d (background-test), §108.i (zero-idle parallel), §108.l (max-idle + progress-cadence), §108.m (full-automation testing), and Universal §11.4.92 Pass 4 (deep-research). The §108.n cross-reference is INDEPENDENT of §11.4.92 Pass 4 deep-research — the agent CANNOT cite §11.4.92 as a substitute for §108.n; the two pass independently.</w:t>
      </w:r>
    </w:p>
    <w:p>
      <w:pPr>
        <w:pStyle w:val="BodyText"/>
      </w:pPr>
      <w:r>
        <w:rPr>
          <w:b/>
          <w:bCs/>
        </w:rPr>
        <w:t xml:space="preserve">Propagation.</w:t>
      </w:r>
      <w:r>
        <w:t xml:space="preserve"> </w:t>
      </w:r>
      <w:r>
        <w:t xml:space="preserve">§108.n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§11.4.99 is cascaded into the Helix-stack submodules per §1.1 multi-file propagation discipline. The literal anchor</w:t>
      </w:r>
      <w:r>
        <w:t xml:space="preserve"> </w:t>
      </w:r>
      <w:r>
        <w:rPr>
          <w:rStyle w:val="VerbatimChar"/>
        </w:rPr>
        <w:t xml:space="preserve">11.4.99</w:t>
      </w:r>
      <w:r>
        <w:t xml:space="preserve"> </w:t>
      </w:r>
      <w:r>
        <w:t xml:space="preserve">MUST appear in all three Herald root docs; the §11.4.99 pre-build gate</w:t>
      </w:r>
      <w:r>
        <w:t xml:space="preserve"> </w:t>
      </w:r>
      <w:r>
        <w:rPr>
          <w:rStyle w:val="VerbatimChar"/>
        </w:rPr>
        <w:t xml:space="preserve">CM-COVENANT-114-99-PROPAGATION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operator-facing instruction documentation without (a) a</w:t>
      </w:r>
      <w:r>
        <w:t xml:space="preserve"> </w:t>
      </w:r>
      <w:r>
        <w:rPr>
          <w:rStyle w:val="VerbatimChar"/>
        </w:rPr>
        <w:t xml:space="preserve">## Sources verified &lt;date&gt;: ...</w:t>
      </w:r>
      <w:r>
        <w:t xml:space="preserve"> </w:t>
      </w:r>
      <w:r>
        <w:t xml:space="preserve">footer in the document itself AND (b) a</w:t>
      </w:r>
      <w:r>
        <w:t xml:space="preserve"> </w:t>
      </w:r>
      <w:r>
        <w:rPr>
          <w:rStyle w:val="VerbatimChar"/>
        </w:rPr>
        <w:t xml:space="preserve">Sources verified &lt;date&gt;: ...</w:t>
      </w:r>
      <w:r>
        <w:t xml:space="preserve"> </w:t>
      </w:r>
      <w:r>
        <w:t xml:space="preserve">line in the commit-message footer is blocked at release-gate. A Herald document with operator-actionable steps that becomes stale (&gt;6 months default; &gt;90 days for risk-classified services per §(D)) graduates to §108.e (Universal §11.4.90 Obsolete) after the 30-day grace window with</w:t>
      </w:r>
      <w:r>
        <w:t xml:space="preserve"> </w:t>
      </w:r>
      <w:r>
        <w:rPr>
          <w:rStyle w:val="VerbatimChar"/>
        </w:rPr>
        <w:t xml:space="preserve">Obsolete-Details: Reason=stale-documentation; Superseding-item=&lt;replacement-doc-or-rewrite&gt;</w:t>
      </w:r>
      <w:r>
        <w:t xml:space="preserve">. No</w:t>
      </w:r>
      <w:r>
        <w:t xml:space="preserve"> </w:t>
      </w:r>
      <w:r>
        <w:rPr>
          <w:rStyle w:val="VerbatimChar"/>
        </w:rPr>
        <w:t xml:space="preserve">--skip-source-check</w:t>
      </w:r>
      <w:r>
        <w:t xml:space="preserve"> </w:t>
      </w:r>
      <w:r>
        <w:t xml:space="preserve">/</w:t>
      </w:r>
      <w:r>
        <w:t xml:space="preserve"> </w:t>
      </w:r>
      <w:r>
        <w:rPr>
          <w:rStyle w:val="VerbatimChar"/>
        </w:rPr>
        <w:t xml:space="preserve">--docs-freshness-optional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escape exists.</w:t>
      </w:r>
    </w:p>
    <w:bookmarkEnd w:id="33"/>
    <w:bookmarkStart w:id="34" w:name="Xfdab29d6af588a0a3e5b53c85e024f731228cfb"/>
    <w:p>
      <w:pPr>
        <w:pStyle w:val="Heading4"/>
      </w:pPr>
      <w:r>
        <w:t xml:space="preserve">§108.o. Video color + visual-quality fidelity mandate (extends Universal §11.4.100; Helix 2026-05-28)</w:t>
      </w:r>
    </w:p>
    <w:p>
      <w:pPr>
        <w:pStyle w:val="FirstParagraph"/>
      </w:pPr>
      <w:r>
        <w:rPr>
          <w:b/>
          <w:bCs/>
        </w:rPr>
        <w:t xml:space="preserve">Forensic anchor — verbatim user mandate (2026-05-28):</w:t>
      </w:r>
    </w:p>
    <w:p>
      <w:pPr>
        <w:pStyle w:val="BlockText"/>
      </w:pPr>
      <w:r>
        <w:t xml:space="preserve">"We MUST check for all content being played — all videos — video streams from the internet, or offline videos we play, from any of applications — video streaming applications or video players, that all colors are fine and proper! We MUST HAVE same approach to colors like to our sound quality! EVERYTHING MUST be cutting edge, highest quality! ... No false positives or false negatives or bluff(s) of any kind!"</w:t>
      </w:r>
    </w:p>
    <w:p>
      <w:pPr>
        <w:pStyle w:val="FirstParagraph"/>
      </w:pPr>
      <w:r>
        <w:rPr>
          <w:b/>
          <w:bCs/>
        </w:rPr>
        <w:t xml:space="preserve">Canonical authority.</w:t>
      </w:r>
      <w:r>
        <w:t xml:space="preserve"> </w:t>
      </w:r>
      <w:r>
        <w:t xml:space="preserve">Helix Universal Constitution §11.4.100. Herald §108.o is the project-binding restatement.</w:t>
      </w:r>
    </w:p>
    <w:p>
      <w:pPr>
        <w:pStyle w:val="BodyText"/>
      </w:pPr>
      <w:r>
        <w:rPr>
          <w:b/>
          <w:bCs/>
        </w:rPr>
        <w:t xml:space="preserve">Herald applicability — non-applicable-but-cite.</w:t>
      </w:r>
      <w:r>
        <w:t xml:space="preserve"> </w:t>
      </w:r>
      <w:r>
        <w:t xml:space="preserve">Herald is a messaging / notification system with</w:t>
      </w:r>
      <w:r>
        <w:t xml:space="preserve"> </w:t>
      </w:r>
      <w:r>
        <w:rPr>
          <w:b/>
          <w:bCs/>
        </w:rPr>
        <w:t xml:space="preserve">NO video-playback surface</w:t>
      </w:r>
      <w:r>
        <w:t xml:space="preserve">:</w:t>
      </w:r>
    </w:p>
    <w:p>
      <w:pPr>
        <w:pStyle w:val="Compact"/>
        <w:numPr>
          <w:ilvl w:val="0"/>
          <w:numId w:val="1010"/>
        </w:numPr>
      </w:pPr>
      <w:r>
        <w:rPr>
          <w:rStyle w:val="VerbatimChar"/>
        </w:rPr>
        <w:t xml:space="preserve">pherald listen</w:t>
      </w:r>
      <w:r>
        <w:t xml:space="preserve"> </w:t>
      </w:r>
      <w:r>
        <w:t xml:space="preserve">(</w:t>
      </w:r>
      <w:r>
        <w:rPr>
          <w:rStyle w:val="VerbatimChar"/>
        </w:rPr>
        <w:t xml:space="preserve">pherald/internal/inbound/</w:t>
      </w:r>
      <w:r>
        <w:t xml:space="preserve">) downloads video attachments via the HRD-005 attachment pipeline as opaque sha256-content-addressed blobs to</w:t>
      </w:r>
      <w:r>
        <w:t xml:space="preserve"> </w:t>
      </w:r>
      <w:r>
        <w:rPr>
          <w:rStyle w:val="VerbatimChar"/>
        </w:rPr>
        <w:t xml:space="preserve">~/.herald/inbox/&lt;sha&gt;.&lt;ext&gt;</w:t>
      </w:r>
      <w:r>
        <w:t xml:space="preserve">. The handler validates</w:t>
      </w:r>
      <w:r>
        <w:t xml:space="preserve"> </w:t>
      </w:r>
      <w:r>
        <w:rPr>
          <w:rStyle w:val="VerbatimChar"/>
        </w:rPr>
        <w:t xml:space="preserve">sha256 + content-length + MIME</w:t>
      </w:r>
      <w:r>
        <w:t xml:space="preserve"> </w:t>
      </w:r>
      <w:r>
        <w:t xml:space="preserve">and references the file path to the Claude Code dispatcher — it never decodes, never renders, never displays a frame.</w:t>
      </w:r>
    </w:p>
    <w:p>
      <w:pPr>
        <w:pStyle w:val="Compact"/>
        <w:numPr>
          <w:ilvl w:val="0"/>
          <w:numId w:val="1010"/>
        </w:numPr>
      </w:pPr>
      <w:r>
        <w:t xml:space="preserve">The Claude Code dispatcher (</w:t>
      </w:r>
      <w:r>
        <w:rPr>
          <w:rStyle w:val="VerbatimChar"/>
        </w:rPr>
        <w:t xml:space="preserve">commons_messaging/dispatch/claude_code/</w:t>
      </w:r>
      <w:r>
        <w:t xml:space="preserve">) receives the file path as text inside the</w:t>
      </w:r>
      <w:r>
        <w:t xml:space="preserve"> </w:t>
      </w:r>
      <w:r>
        <w:rPr>
          <w:rStyle w:val="VerbatimChar"/>
        </w:rPr>
        <w:t xml:space="preserve">&lt;&lt;&lt;HERALD-DISPATCH-v1&gt;&gt;&gt;</w:t>
      </w:r>
      <w:r>
        <w:t xml:space="preserve"> </w:t>
      </w:r>
      <w:r>
        <w:t xml:space="preserve">envelope; downstream rendering (if any) is Claude Code's responsibility, not Herald's.</w:t>
      </w:r>
    </w:p>
    <w:p>
      <w:pPr>
        <w:pStyle w:val="Compact"/>
        <w:numPr>
          <w:ilvl w:val="0"/>
          <w:numId w:val="1010"/>
        </w:numPr>
      </w:pPr>
      <w:r>
        <w:t xml:space="preserve">The</w:t>
      </w:r>
      <w:r>
        <w:t xml:space="preserve"> </w:t>
      </w:r>
      <w:r>
        <w:rPr>
          <w:rStyle w:val="VerbatimChar"/>
        </w:rPr>
        <w:t xml:space="preserve">qaherald</w:t>
      </w:r>
      <w:r>
        <w:t xml:space="preserve"> </w:t>
      </w:r>
      <w:r>
        <w:t xml:space="preserve">MTProto driver (Wave 8 Track B) likewise treats video attachments as bytes-with-hash for round-trip integrity — never as a rendered frame.</w:t>
      </w:r>
    </w:p>
    <w:p>
      <w:pPr>
        <w:pStyle w:val="FirstParagraph"/>
      </w:pPr>
      <w:r>
        <w:t xml:space="preserve">The mandate therefore binds</w:t>
      </w:r>
      <w:r>
        <w:t xml:space="preserve"> </w:t>
      </w:r>
      <w:r>
        <w:rPr>
          <w:b/>
          <w:bCs/>
        </w:rPr>
        <w:t xml:space="preserve">latently</w:t>
      </w:r>
      <w:r>
        <w:t xml:space="preserve">: if Herald ever ships a video-rendering surface (preview thumbnails in a future dashboard flavor, an in-app player, an inline diff viewer for video-attachment review), §108.o + §11.4.100 apply in full at that point — every video-playback PASS will then need a captured-frame deep-analysis artefact proving ΔE2000 + RGB/HSV histogram correlation + no pale/over-saturation/hue-shift + gamma/luma fidelity (BT.601/709/2020 + full-range-vs-limited-range explicit) + sharpness (Laplacian-variance) + aspect-ratio + FPS+speed + continuity (no freeze ≥1s SSIM&gt;0.99). Metadata-only PASS forbidden; comparison harness MUST itself be golden-pair + bad-pair self-validated (no false-positive AND no false-negative). The §108.o helper-script contract (when Herald ever needs one) lives under</w:t>
      </w:r>
      <w:r>
        <w:t xml:space="preserve"> </w:t>
      </w:r>
      <w:r>
        <w:rPr>
          <w:rStyle w:val="VerbatimChar"/>
        </w:rPr>
        <w:t xml:space="preserve">scripts/video_fidelity.sh</w:t>
      </w:r>
      <w:r>
        <w:t xml:space="preserve"> </w:t>
      </w:r>
      <w:r>
        <w:t xml:space="preserve">per the §11.4.100 helper-contract template (</w:t>
      </w:r>
      <w:r>
        <w:rPr>
          <w:rStyle w:val="VerbatimChar"/>
        </w:rPr>
        <w:t xml:space="preserve">vf_extract_source_frame</w:t>
      </w:r>
      <w:r>
        <w:t xml:space="preserve">,</w:t>
      </w:r>
      <w:r>
        <w:t xml:space="preserve"> </w:t>
      </w:r>
      <w:r>
        <w:rPr>
          <w:rStyle w:val="VerbatimChar"/>
        </w:rPr>
        <w:t xml:space="preserve">vf_capture_rendered_frame</w:t>
      </w:r>
      <w:r>
        <w:t xml:space="preserve">,</w:t>
      </w:r>
      <w:r>
        <w:t xml:space="preserve"> </w:t>
      </w:r>
      <w:r>
        <w:rPr>
          <w:rStyle w:val="VerbatimChar"/>
        </w:rPr>
        <w:t xml:space="preserve">vf_assert_delta_e2000</w:t>
      </w:r>
      <w:r>
        <w:t xml:space="preserve">,</w:t>
      </w:r>
      <w:r>
        <w:t xml:space="preserve"> </w:t>
      </w:r>
      <w:r>
        <w:rPr>
          <w:rStyle w:val="VerbatimChar"/>
        </w:rPr>
        <w:t xml:space="preserve">vf_assert_histogram_correlation</w:t>
      </w:r>
      <w:r>
        <w:t xml:space="preserve">,</w:t>
      </w:r>
      <w:r>
        <w:t xml:space="preserve"> </w:t>
      </w:r>
      <w:r>
        <w:rPr>
          <w:rStyle w:val="VerbatimChar"/>
        </w:rPr>
        <w:t xml:space="preserve">vf_assert_no_pale_no_oversaturation</w:t>
      </w:r>
      <w:r>
        <w:t xml:space="preserve">,</w:t>
      </w:r>
      <w:r>
        <w:t xml:space="preserve"> </w:t>
      </w:r>
      <w:r>
        <w:rPr>
          <w:rStyle w:val="VerbatimChar"/>
        </w:rPr>
        <w:t xml:space="preserve">vf_assert_sharpness</w:t>
      </w:r>
      <w:r>
        <w:t xml:space="preserve">,</w:t>
      </w:r>
      <w:r>
        <w:t xml:space="preserve"> </w:t>
      </w:r>
      <w:r>
        <w:rPr>
          <w:rStyle w:val="VerbatimChar"/>
        </w:rPr>
        <w:t xml:space="preserve">vf_assert_aspect_ratio</w:t>
      </w:r>
      <w:r>
        <w:t xml:space="preserve">,</w:t>
      </w:r>
      <w:r>
        <w:t xml:space="preserve"> </w:t>
      </w:r>
      <w:r>
        <w:rPr>
          <w:rStyle w:val="VerbatimChar"/>
        </w:rPr>
        <w:t xml:space="preserve">vf_assert_fps_speed</w:t>
      </w:r>
      <w:r>
        <w:t xml:space="preserve">,</w:t>
      </w:r>
      <w:r>
        <w:t xml:space="preserve"> </w:t>
      </w:r>
      <w:r>
        <w:rPr>
          <w:rStyle w:val="VerbatimChar"/>
        </w:rPr>
        <w:t xml:space="preserve">vf_assert_continuity_no_freeze</w:t>
      </w:r>
      <w:r>
        <w:t xml:space="preserve">,</w:t>
      </w:r>
      <w:r>
        <w:t xml:space="preserve"> </w:t>
      </w:r>
      <w:r>
        <w:rPr>
          <w:rStyle w:val="VerbatimChar"/>
        </w:rPr>
        <w:t xml:space="preserve">vf_obstruction_ocr_census</w:t>
      </w:r>
      <w:r>
        <w:t xml:space="preserve">).</w:t>
      </w:r>
    </w:p>
    <w:p>
      <w:pPr>
        <w:pStyle w:val="BodyText"/>
      </w:pPr>
      <w:r>
        <w:rPr>
          <w:b/>
          <w:bCs/>
        </w:rPr>
        <w:t xml:space="preserve">Cascade-parallel.</w:t>
      </w:r>
      <w:r>
        <w:t xml:space="preserve"> </w:t>
      </w:r>
      <w:r>
        <w:t xml:space="preserve">§108.k (Universal §11.4.96 "Herald has no AOSP build, but the principle binds") is the structural twin — same restatement-with-non-applicability-but-cite shape: the cascaded mandate does not have a direct Herald-side implementation today, but the literal anchor is propagated so the constitutional inheritance contract is satisfied AND the principle's surface — the no-bluff bar for any future feature in the same problem domain — is established up-front.</w:t>
      </w:r>
    </w:p>
    <w:p>
      <w:pPr>
        <w:pStyle w:val="BodyText"/>
      </w:pPr>
      <w:r>
        <w:rPr>
          <w:b/>
          <w:bCs/>
        </w:rPr>
        <w:t xml:space="preserve">Propagation.</w:t>
      </w:r>
      <w:r>
        <w:t xml:space="preserve"> </w:t>
      </w:r>
      <w:r>
        <w:t xml:space="preserve">§108.o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§11.4.100 is inherited via the §11.4.35 parent-discovery contract; the literal anchor</w:t>
      </w:r>
      <w:r>
        <w:t xml:space="preserve"> </w:t>
      </w:r>
      <w:r>
        <w:rPr>
          <w:rStyle w:val="VerbatimChar"/>
        </w:rPr>
        <w:t xml:space="preserve">11.4.100</w:t>
      </w:r>
      <w:r>
        <w:t xml:space="preserve"> </w:t>
      </w:r>
      <w:r>
        <w:t xml:space="preserve">MUST appear in all three Herald root docs. The upcoming Helix-side pre-build gate</w:t>
      </w:r>
      <w:r>
        <w:t xml:space="preserve"> </w:t>
      </w:r>
      <w:r>
        <w:rPr>
          <w:rStyle w:val="VerbatimChar"/>
        </w:rPr>
        <w:t xml:space="preserve">CM-COVENANT-114-100-PROPAGATION</w:t>
      </w:r>
      <w:r>
        <w:t xml:space="preserve"> </w:t>
      </w:r>
      <w:r>
        <w:t xml:space="preserve">enforces this literal-anchor presence across the canonical consumer fleet (paired §1.1 mutation: strip the anchor → gate FAILs).</w:t>
      </w:r>
    </w:p>
    <w:p>
      <w:pPr>
        <w:pStyle w:val="BodyText"/>
      </w:pPr>
      <w:r>
        <w:rPr>
          <w:b/>
          <w:bCs/>
        </w:rPr>
        <w:t xml:space="preserve">Composition.</w:t>
      </w:r>
      <w:r>
        <w:t xml:space="preserve"> </w:t>
      </w:r>
      <w:r>
        <w:t xml:space="preserve">§108.o composes with §107 (anti-bluff), §108.a (Universal §11.4.85 stress + chaos — fidelity holds under sustained playback + fault injection, not just on the first frame, IF Herald ever has a playback surface), §108.m (Universal §11.4.98 full-automation testing — fidelity analysis runs without operator presence), §108.n (Universal §11.4.99 latest-source documentation — the tolerance thresholds and capture mechanisms must be cross-referenced against the latest official codec / display / OS documentation before publication).</w:t>
      </w:r>
    </w:p>
    <w:p>
      <w:pPr>
        <w:pStyle w:val="BodyText"/>
      </w:pPr>
      <w:r>
        <w:rPr>
          <w:b/>
          <w:bCs/>
        </w:rPr>
        <w:t xml:space="preserve">Non-compliance is a release blocker.</w:t>
      </w:r>
      <w:r>
        <w:t xml:space="preserve"> </w:t>
      </w:r>
      <w:r>
        <w:t xml:space="preserve">No</w:t>
      </w:r>
      <w:r>
        <w:t xml:space="preserve"> </w:t>
      </w:r>
      <w:r>
        <w:rPr>
          <w:rStyle w:val="VerbatimChar"/>
        </w:rPr>
        <w:t xml:space="preserve">--skip-color-fidelity</w:t>
      </w:r>
      <w:r>
        <w:t xml:space="preserve">,</w:t>
      </w:r>
      <w:r>
        <w:t xml:space="preserve"> </w:t>
      </w:r>
      <w:r>
        <w:rPr>
          <w:rStyle w:val="VerbatimChar"/>
        </w:rPr>
        <w:t xml:space="preserve">--no-frame-analysis</w:t>
      </w:r>
      <w:r>
        <w:t xml:space="preserve">,</w:t>
      </w:r>
      <w:r>
        <w:t xml:space="preserve"> </w:t>
      </w:r>
      <w:r>
        <w:rPr>
          <w:rStyle w:val="VerbatimChar"/>
        </w:rPr>
        <w:t xml:space="preserve">--metadata-video-pass-suffices</w:t>
      </w:r>
      <w:r>
        <w:t xml:space="preserve">,</w:t>
      </w:r>
      <w:r>
        <w:t xml:space="preserve"> </w:t>
      </w:r>
      <w:r>
        <w:rPr>
          <w:rStyle w:val="VerbatimChar"/>
        </w:rPr>
        <w:t xml:space="preserve">--color-check-later</w:t>
      </w:r>
      <w:r>
        <w:t xml:space="preserve">,</w:t>
      </w:r>
      <w:r>
        <w:t xml:space="preserve"> </w:t>
      </w:r>
      <w:r>
        <w:rPr>
          <w:rStyle w:val="VerbatimChar"/>
        </w:rPr>
        <w:t xml:space="preserve">--source-comparison-optional</w:t>
      </w:r>
      <w:r>
        <w:t xml:space="preserve"> </w:t>
      </w:r>
      <w:r>
        <w:t xml:space="preserve">flag exists. This applies prospectively the moment Herald ships any video-rendering surface; until then, the non-applicability is documented HERE (this very §108.o restatement) — the absence-of-implementation is itself the §108.o evidence shape.</w:t>
      </w:r>
    </w:p>
    <w:p>
      <w:r>
        <w:pict>
          <v:rect style="width:0;height:1.5pt" o:hralign="center" o:hrstd="t" o:hr="t"/>
        </w:pict>
      </w:r>
    </w:p>
    <w:bookmarkEnd w:id="34"/>
    <w:bookmarkEnd w:id="35"/>
    <w:bookmarkStart w:id="42" w:name="X334e1f34d770475f1544bf6f82ee80a38927ce0"/>
    <w:p>
      <w:pPr>
        <w:pStyle w:val="Heading3"/>
      </w:pPr>
      <w:r>
        <w:t xml:space="preserve">§109. Participant identity, attribution &amp; notification-tagging (operator mandate, 2026-05-31; inherited from HelixConstitution per §11.4.35)</w:t>
      </w:r>
    </w:p>
    <w:p>
      <w:pPr>
        <w:pStyle w:val="FirstParagraph"/>
      </w:pPr>
      <w:r>
        <w:rPr>
          <w:b/>
          <w:bCs/>
        </w:rPr>
        <w:t xml:space="preserve">Forensic anchor — verbatim operator mandate (2026-05-31):</w:t>
      </w:r>
    </w:p>
    <w:p>
      <w:pPr>
        <w:pStyle w:val="BlockText"/>
      </w:pPr>
      <w:r>
        <w:t xml:space="preserve">every messenger must relate messages to</w:t>
      </w:r>
      <w:r>
        <w:t xml:space="preserve"> </w:t>
      </w:r>
      <w:r>
        <w:rPr>
          <w:b/>
          <w:bCs/>
        </w:rPr>
        <w:t xml:space="preserve">participants (Subscribers/Users)</w:t>
      </w:r>
      <w:r>
        <w:t xml:space="preserve">;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notifications</w:t>
      </w:r>
      <w:r>
        <w:t xml:space="preserve"> </w:t>
      </w:r>
      <w:r>
        <w:rPr>
          <w:b/>
          <w:bCs/>
        </w:rPr>
        <w:t xml:space="preserve">@-tag</w:t>
      </w:r>
      <w:r>
        <w:t xml:space="preserve"> </w:t>
      </w:r>
      <w:r>
        <w:t xml:space="preserve">the right participant per a fixed rule matrix; the same logical person may have a</w:t>
      </w:r>
      <w:r>
        <w:t xml:space="preserve"> </w:t>
      </w:r>
      <w:r>
        <w:rPr>
          <w:b/>
          <w:bCs/>
        </w:rPr>
        <w:t xml:space="preserve">different username on every messenger</w:t>
      </w:r>
      <w:r>
        <w:t xml:space="preserve">.</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36">
        <w:r>
          <w:rPr>
            <w:rStyle w:val="VerbatimChar"/>
          </w:rPr>
          <w:t xml:space="preserve">docs/design/PARTICIPANT_ATTRIBUTION.md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per §11.4.35; Herald §109 is the project-binding restatement. Herald</w:t>
      </w:r>
      <w:r>
        <w:t xml:space="preserve"> </w:t>
      </w:r>
      <w:r>
        <w:rPr>
          <w:b/>
          <w:bCs/>
        </w:rPr>
        <w:t xml:space="preserve">restates + cites</w:t>
      </w:r>
      <w:r>
        <w:t xml:space="preserve">, it does NOT redefine or weaken.</w:t>
      </w:r>
    </w:p>
    <w:bookmarkStart w:id="37" w:name="Xc203c94a829718081956c43154aa4f8368dd8d3"/>
    <w:p>
      <w:pPr>
        <w:pStyle w:val="Heading4"/>
      </w:pPr>
      <w:r>
        <w:t xml:space="preserve">§109.1. Identity model — logical participant + per-channel handle</w:t>
      </w:r>
    </w:p>
    <w:p>
      <w:pPr>
        <w:pStyle w:val="FirstParagraph"/>
      </w:pPr>
      <w:r>
        <w:t xml:space="preserve">A</w:t>
      </w:r>
      <w:r>
        <w:t xml:space="preserve"> </w:t>
      </w:r>
      <w:r>
        <w:rPr>
          <w:b/>
          <w:bCs/>
        </w:rPr>
        <w:t xml:space="preserve">Participant</w:t>
      </w:r>
      <w:r>
        <w:t xml:space="preserve"> </w:t>
      </w:r>
      <w:r>
        <w:t xml:space="preserve">(logical Subscriber/User) is one person/agent, with a potentially DIFFERENT username on every messenger. Backed by the existing PG tables:</w:t>
      </w:r>
    </w:p>
    <w:p>
      <w:pPr>
        <w:pStyle w:val="Compact"/>
        <w:numPr>
          <w:ilvl w:val="0"/>
          <w:numId w:val="1011"/>
        </w:numPr>
      </w:pPr>
      <w:r>
        <w:rPr>
          <w:rStyle w:val="VerbatimChar"/>
        </w:rPr>
        <w:t xml:space="preserve">subscribers</w:t>
      </w:r>
      <w:r>
        <w:t xml:space="preserve"> </w:t>
      </w:r>
      <w:r>
        <w:t xml:space="preserve">— the logical party:</w:t>
      </w:r>
      <w:r>
        <w:t xml:space="preserve"> </w:t>
      </w:r>
      <w:r>
        <w:rPr>
          <w:rStyle w:val="VerbatimChar"/>
        </w:rPr>
        <w:t xml:space="preserve">handle</w:t>
      </w:r>
      <w:r>
        <w:t xml:space="preserve"> </w:t>
      </w:r>
      <w:r>
        <w:t xml:space="preserve">(canonical, messenger-neutral),</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1"/>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 the string stored in items'</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Closed set:</w:t>
      </w:r>
    </w:p>
    <w:p>
      <w:pPr>
        <w:pStyle w:val="Compact"/>
        <w:numPr>
          <w:ilvl w:val="0"/>
          <w:numId w:val="1012"/>
        </w:numPr>
      </w:pPr>
      <w:r>
        <w:rPr>
          <w:rStyle w:val="VerbatimChar"/>
        </w:rPr>
        <w:t xml:space="preserve">Claude</w:t>
      </w:r>
      <w:r>
        <w:t xml:space="preserve"> </w:t>
      </w:r>
      <w:r>
        <w:t xml:space="preserve">— the system agent (reserved sentinel;</w:t>
      </w:r>
      <w:r>
        <w:t xml:space="preserve"> </w:t>
      </w:r>
      <w:r>
        <w:rPr>
          <w:rStyle w:val="VerbatimChar"/>
        </w:rPr>
        <w:t xml:space="preserve">kind=agent</w:t>
      </w:r>
      <w:r>
        <w:t xml:space="preserve">). NEVER tagged.</w:t>
      </w:r>
    </w:p>
    <w:p>
      <w:pPr>
        <w:pStyle w:val="Compact"/>
        <w:numPr>
          <w:ilvl w:val="0"/>
          <w:numId w:val="1012"/>
        </w:numPr>
      </w:pPr>
      <w:r>
        <w:t xml:space="preserve">a human's</w:t>
      </w:r>
      <w:r>
        <w:t xml:space="preserve"> </w:t>
      </w:r>
      <w:r>
        <w:rPr>
          <w:b/>
          <w:bCs/>
        </w:rPr>
        <w:t xml:space="preserve">canonical handle</w:t>
      </w:r>
      <w:r>
        <w:t xml:space="preserve"> </w:t>
      </w:r>
      <w:r>
        <w:t xml:space="preserve">— defaults to their Telegram</w:t>
      </w:r>
      <w:r>
        <w:t xml:space="preserve"> </w:t>
      </w:r>
      <w:r>
        <w:rPr>
          <w:rStyle w:val="VerbatimChar"/>
        </w:rPr>
        <w:t xml:space="preserve">@username</w:t>
      </w:r>
      <w:r>
        <w:t xml:space="preserve"> </w:t>
      </w:r>
      <w:r>
        <w:t xml:space="preserve">(Telegram is the primary messenger) but is messenger-neutral; per-channel</w:t>
      </w:r>
      <w:r>
        <w:t xml:space="preserve"> </w:t>
      </w:r>
      <w:r>
        <w:rPr>
          <w:rStyle w:val="VerbatimChar"/>
        </w:rPr>
        <w:t xml:space="preserve">@username</w:t>
      </w:r>
      <w:r>
        <w:t xml:space="preserve">s are resolved via</w:t>
      </w:r>
      <w:r>
        <w:t xml:space="preserve"> </w:t>
      </w:r>
      <w:r>
        <w:rPr>
          <w:rStyle w:val="VerbatimChar"/>
        </w:rPr>
        <w:t xml:space="preserve">subscriber_aliases</w:t>
      </w:r>
      <w:r>
        <w:t xml:space="preserve">.</w:t>
      </w:r>
    </w:p>
    <w:bookmarkEnd w:id="37"/>
    <w:bookmarkStart w:id="38" w:name="Xe1c9323bf526aa82088eace273fbe9f208c0dbe"/>
    <w:p>
      <w:pPr>
        <w:pStyle w:val="Heading4"/>
      </w:pPr>
      <w:r>
        <w:t xml:space="preserve">§109.2. Operator env var</w:t>
      </w:r>
    </w:p>
    <w:p>
      <w:pPr>
        <w:pStyle w:val="FirstParagraph"/>
      </w:pPr>
      <w:r>
        <w:t xml:space="preserve">The</w:t>
      </w:r>
      <w:r>
        <w:t xml:space="preserve"> </w:t>
      </w:r>
      <w:r>
        <w:rPr>
          <w:b/>
          <w:bCs/>
        </w:rPr>
        <w:t xml:space="preserve">operator</w:t>
      </w:r>
      <w:r>
        <w:t xml:space="preserve"> </w:t>
      </w:r>
      <w:r>
        <w:t xml:space="preserve">is the one human who drives the system via the Claude Code CLI.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w:t>
      </w:r>
      <w:r>
        <w:t xml:space="preserve"> </w:t>
      </w:r>
      <w:r>
        <w:rPr>
          <w:b/>
          <w:bCs/>
        </w:rPr>
        <w:t xml:space="preserve">canonical handle</w:t>
      </w:r>
      <w:r>
        <w:t xml:space="preserve"> </w:t>
      </w:r>
      <w:r>
        <w:t xml:space="preserve">= their Telegram operator username (e.g.</w:t>
      </w:r>
      <w:r>
        <w:t xml:space="preserve"> </w:t>
      </w:r>
      <w:r>
        <w:rPr>
          <w:rStyle w:val="VerbatimChar"/>
        </w:rPr>
        <w:t xml:space="preserve">@milos85vasic</w:t>
      </w:r>
      <w:r>
        <w:t xml:space="preserve">). The operator is a normal Participant whose handle equals the operator env value.</w:t>
      </w:r>
      <w:r>
        <w:t xml:space="preserve"> </w:t>
      </w:r>
      <w:r>
        <w:rPr>
          <w:rStyle w:val="VerbatimChar"/>
        </w:rPr>
        <w:t xml:space="preserve">IdentityResolver.OperatorHandle()</w:t>
      </w:r>
      <w:r>
        <w:t xml:space="preserve"> </w:t>
      </w:r>
      <w:r>
        <w:t xml:space="preserve">returns this.</w:t>
      </w:r>
    </w:p>
    <w:bookmarkEnd w:id="38"/>
    <w:bookmarkStart w:id="39" w:name="X8cc3d90c209d3dc3ae73a9c16912b81fc560f14"/>
    <w:p>
      <w:pPr>
        <w:pStyle w:val="Heading4"/>
      </w:pPr>
      <w:r>
        <w:t xml:space="preserve">§109.3. Attribution rules — who sets</w:t>
      </w:r>
      <w:r>
        <w:t xml:space="preserve"> </w:t>
      </w:r>
      <w:r>
        <w:rPr>
          <w:rStyle w:val="VerbatimChar"/>
        </w:rPr>
        <w:t xml:space="preserve">created_by</w:t>
      </w:r>
      <w:r>
        <w:t xml:space="preserve"> </w:t>
      </w:r>
      <w:r>
        <w:t xml:space="preserve">/</w:t>
      </w:r>
      <w:r>
        <w:t xml:space="preserve"> </w:t>
      </w:r>
      <w:r>
        <w:rPr>
          <w:rStyle w:val="VerbatimChar"/>
        </w:rPr>
        <w:t xml:space="preserve">assigned_to</w:t>
      </w:r>
    </w:p>
    <w:p>
      <w:pPr>
        <w:pStyle w:val="FirstParagraph"/>
      </w:pPr>
      <w:r>
        <w:rPr>
          <w:rStyle w:val="VerbatimChar"/>
        </w:rPr>
        <w:t xml:space="preserve">created_by</w:t>
      </w:r>
      <w:r>
        <w:t xml:space="preserve"> </w:t>
      </w:r>
      <w:r>
        <w:t xml:space="preserve">(who opened/assigned the item):</w:t>
      </w:r>
    </w:p>
    <w:p>
      <w:pPr>
        <w:pStyle w:val="Compact"/>
        <w:numPr>
          <w:ilvl w:val="0"/>
          <w:numId w:val="1013"/>
        </w:numPr>
      </w:pPr>
      <w:r>
        <w:t xml:space="preserve">Opened via the</w:t>
      </w:r>
      <w:r>
        <w:t xml:space="preserve"> </w:t>
      </w:r>
      <w:r>
        <w:rPr>
          <w:b/>
          <w:bCs/>
        </w:rPr>
        <w:t xml:space="preserve">Claude Code CLI prompt</w:t>
      </w:r>
      <w:r>
        <w:t xml:space="preserve"> </w:t>
      </w:r>
      <w:r>
        <w:t xml:space="preserve">(operator-driven) →</w:t>
      </w:r>
      <w:r>
        <w:t xml:space="preserve"> </w:t>
      </w:r>
      <w:r>
        <w:rPr>
          <w:rStyle w:val="VerbatimChar"/>
        </w:rPr>
        <w:t xml:space="preserve">created_by = OperatorHandle()</w:t>
      </w:r>
      <w:r>
        <w:t xml:space="preserve">.</w:t>
      </w:r>
    </w:p>
    <w:p>
      <w:pPr>
        <w:pStyle w:val="Compact"/>
        <w:numPr>
          <w:ilvl w:val="0"/>
          <w:numId w:val="1013"/>
        </w:numPr>
      </w:pPr>
      <w:r>
        <w:t xml:space="preserve">Opened by</w:t>
      </w:r>
      <w:r>
        <w:t xml:space="preserve"> </w:t>
      </w:r>
      <w:r>
        <w:rPr>
          <w:b/>
          <w:bCs/>
        </w:rPr>
        <w:t xml:space="preserve">System/Claude</w:t>
      </w:r>
      <w:r>
        <w:t xml:space="preserve"> </w:t>
      </w:r>
      <w:r>
        <w:t xml:space="preserve">detecting an issue/task/improvement/missing-feature →</w:t>
      </w:r>
      <w:r>
        <w:t xml:space="preserve"> </w:t>
      </w:r>
      <w:r>
        <w:rPr>
          <w:rStyle w:val="VerbatimChar"/>
        </w:rPr>
        <w:t xml:space="preserve">created_by = "Claude"</w:t>
      </w:r>
      <w:r>
        <w:t xml:space="preserve">.</w:t>
      </w:r>
    </w:p>
    <w:p>
      <w:pPr>
        <w:pStyle w:val="Compact"/>
        <w:numPr>
          <w:ilvl w:val="0"/>
          <w:numId w:val="1013"/>
        </w:numPr>
      </w:pPr>
      <w:r>
        <w:t xml:space="preserve">Received</w:t>
      </w:r>
      <w:r>
        <w:t xml:space="preserve"> </w:t>
      </w:r>
      <w:r>
        <w:rPr>
          <w:b/>
          <w:bCs/>
        </w:rPr>
        <w:t xml:space="preserve">through Herald</w:t>
      </w:r>
      <w:r>
        <w:t xml:space="preserve"> </w:t>
      </w:r>
      <w:r>
        <w:t xml:space="preserve">(a subscriber message) →</w:t>
      </w:r>
      <w:r>
        <w:t xml:space="preserve"> </w:t>
      </w:r>
      <w:r>
        <w:rPr>
          <w:rStyle w:val="VerbatimChar"/>
        </w:rPr>
        <w:t xml:space="preserve">created_by =</w:t>
      </w:r>
      <w:r>
        <w:t xml:space="preserve"> </w:t>
      </w:r>
      <w:r>
        <w:t xml:space="preserve">the sender's resolved canonical handle (via</w:t>
      </w:r>
      <w:r>
        <w:t xml:space="preserve"> </w:t>
      </w:r>
      <w:r>
        <w:rPr>
          <w:rStyle w:val="VerbatimChar"/>
        </w:rPr>
        <w:t xml:space="preserve">ResolveSender</w:t>
      </w:r>
      <w:r>
        <w:t xml:space="preserve"> </w:t>
      </w:r>
      <w:r>
        <w:t xml:space="preserve">from the message's</w:t>
      </w:r>
      <w:r>
        <w:t xml:space="preserve"> </w:t>
      </w:r>
      <w:r>
        <w:rPr>
          <w:rStyle w:val="VerbatimChar"/>
        </w:rPr>
        <w:t xml:space="preserve">@username</w:t>
      </w:r>
      <w:r>
        <w:t xml:space="preserve"> </w:t>
      </w:r>
      <w:r>
        <w:t xml:space="preserve">+ other data).</w:t>
      </w:r>
    </w:p>
    <w:p>
      <w:pPr>
        <w:pStyle w:val="FirstParagraph"/>
      </w:pPr>
      <w:r>
        <w:rPr>
          <w:rStyle w:val="VerbatimChar"/>
        </w:rPr>
        <w:t xml:space="preserve">assigned_to</w:t>
      </w:r>
      <w:r>
        <w:t xml:space="preserve">:</w:t>
      </w:r>
    </w:p>
    <w:p>
      <w:pPr>
        <w:pStyle w:val="Compact"/>
        <w:numPr>
          <w:ilvl w:val="0"/>
          <w:numId w:val="1014"/>
        </w:numPr>
      </w:pPr>
      <w:r>
        <w:rPr>
          <w:b/>
          <w:bCs/>
        </w:rPr>
        <w:t xml:space="preserve">Default</w:t>
      </w:r>
      <w:r>
        <w:t xml:space="preserve"> </w:t>
      </w:r>
      <w:r>
        <w:t xml:space="preserve">=</w:t>
      </w:r>
      <w:r>
        <w:t xml:space="preserve"> </w:t>
      </w:r>
      <w:r>
        <w:rPr>
          <w:rStyle w:val="VerbatimChar"/>
        </w:rPr>
        <w:t xml:space="preserve">OperatorHandle()</w:t>
      </w:r>
      <w:r>
        <w:t xml:space="preserve"> </w:t>
      </w:r>
      <w:r>
        <w:t xml:space="preserve">(the operator's canonical handle).</w:t>
      </w:r>
    </w:p>
    <w:p>
      <w:pPr>
        <w:pStyle w:val="Compact"/>
        <w:numPr>
          <w:ilvl w:val="0"/>
          <w:numId w:val="1014"/>
        </w:numPr>
      </w:pPr>
      <w:r>
        <w:t xml:space="preserve">May be overridden explicitly (e.g. a prompt or message that assigns to</w:t>
      </w:r>
      <w:r>
        <w:t xml:space="preserve"> </w:t>
      </w:r>
      <w:r>
        <w:rPr>
          <w:rStyle w:val="VerbatimChar"/>
        </w:rPr>
        <w:t xml:space="preserve">@someoneelse</w:t>
      </w:r>
      <w:r>
        <w:t xml:space="preserve">).</w:t>
      </w:r>
    </w:p>
    <w:p>
      <w:pPr>
        <w:pStyle w:val="FirstParagraph"/>
      </w:pPr>
      <w:r>
        <w:t xml:space="preserve">Both columns store the</w:t>
      </w:r>
      <w:r>
        <w:t xml:space="preserve"> </w:t>
      </w:r>
      <w:r>
        <w:rPr>
          <w:b/>
          <w:bCs/>
        </w:rPr>
        <w:t xml:space="preserve">canonical handle string</w:t>
      </w:r>
      <w:r>
        <w:t xml:space="preserve"> </w:t>
      </w:r>
      <w:r>
        <w:t xml:space="preserve">(self-contained in the SSoT/MD).</w:t>
      </w:r>
    </w:p>
    <w:bookmarkEnd w:id="39"/>
    <w:bookmarkStart w:id="40" w:name="X7f7d6ec0515f6ba03ed19e068d832ac5cab36e2"/>
    <w:p>
      <w:pPr>
        <w:pStyle w:val="Heading4"/>
      </w:pPr>
      <w:r>
        <w:t xml:space="preserve">§109.4. Notification-tagging matrix — who gets @-mentioned</w:t>
      </w:r>
    </w:p>
    <w:p>
      <w:pPr>
        <w:pStyle w:val="FirstParagraph"/>
      </w:pPr>
      <w:r>
        <w:t xml:space="preserve">On any workable-item event, the outbound notification dispatched to each messenger channel/group @-tags the participant(s) who must be aware, resolved to that channel's</w:t>
      </w:r>
      <w:r>
        <w:t xml:space="preserve"> </w:t>
      </w:r>
      <w:r>
        <w:rPr>
          <w:rStyle w:val="VerbatimChar"/>
        </w:rPr>
        <w:t xml:space="preserve">@username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@-tag?</w:t>
            </w:r>
          </w:p>
        </w:tc>
        <w:tc>
          <w:tcPr/>
          <w:p>
            <w:pPr>
              <w:pStyle w:val="Compact"/>
            </w:pPr>
            <w:r>
              <w:t xml:space="preserve">Rationale</w:t>
            </w:r>
          </w:p>
        </w:tc>
      </w:tr>
      <w:tr>
        <w:tc>
          <w:tcPr/>
          <w:p>
            <w:pPr>
              <w:pStyle w:val="Compact"/>
            </w:pPr>
            <w:r>
              <w:rPr>
                <w:rStyle w:val="VerbatimChar"/>
              </w:rPr>
              <w:t xml:space="preserve">assigned_to</w:t>
            </w:r>
            <w:r>
              <w:t xml:space="preserve"> </w:t>
            </w:r>
            <w:r>
              <w:t xml:space="preserve">is a human handle AND</w:t>
            </w:r>
            <w:r>
              <w:t xml:space="preserve"> </w:t>
            </w:r>
            <w:r>
              <w:rPr>
                <w:rStyle w:val="VerbatimChar"/>
              </w:rPr>
              <w:t xml:space="preserve">assigned_to != Operator</w:t>
            </w:r>
          </w:p>
        </w:tc>
        <w:tc>
          <w:tcPr/>
          <w:p>
            <w:pPr>
              <w:pStyle w:val="Compact"/>
            </w:pPr>
            <w:r>
              <w:rPr>
                <w:b/>
                <w:bCs/>
              </w:rPr>
              <w:t xml:space="preserve">yes</w:t>
            </w:r>
            <w:r>
              <w:t xml:space="preserve"> </w:t>
            </w:r>
            <w:r>
              <w:t xml:space="preserve">— tag</w:t>
            </w:r>
            <w:r>
              <w:t xml:space="preserve"> </w:t>
            </w:r>
            <w:r>
              <w:rPr>
                <w:rStyle w:val="VerbatimChar"/>
              </w:rPr>
              <w:t xml:space="preserve">assigned_to</w:t>
            </w:r>
          </w:p>
        </w:tc>
        <w:tc>
          <w:tcPr/>
          <w:p>
            <w:pPr>
              <w:pStyle w:val="Compact"/>
            </w:pPr>
            <w:r>
              <w:t xml:space="preserve">the assignee must be made aware</w:t>
            </w:r>
          </w:p>
        </w:tc>
      </w:tr>
      <w:tr>
        <w:tc>
          <w:tcPr/>
          <w:p>
            <w:pPr>
              <w:pStyle w:val="Compact"/>
            </w:pPr>
            <w:r>
              <w:rPr>
                <w:rStyle w:val="VerbatimChar"/>
              </w:rPr>
              <w:t xml:space="preserve">created_by</w:t>
            </w:r>
            <w:r>
              <w:t xml:space="preserve"> </w:t>
            </w:r>
            <w:r>
              <w:t xml:space="preserve">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p>
        </w:tc>
        <w:tc>
          <w:tcPr/>
          <w:p>
            <w:pPr>
              <w:pStyle w:val="Compact"/>
            </w:pPr>
            <w:r>
              <w:rPr>
                <w:b/>
                <w:bCs/>
              </w:rPr>
              <w:t xml:space="preserve">yes</w:t>
            </w:r>
            <w:r>
              <w:t xml:space="preserve"> </w:t>
            </w:r>
            <w:r>
              <w:t xml:space="preserve">— tag</w:t>
            </w:r>
            <w:r>
              <w:t xml:space="preserve"> </w:t>
            </w:r>
            <w:r>
              <w:rPr>
                <w:rStyle w:val="VerbatimChar"/>
              </w:rPr>
              <w:t xml:space="preserve">created_by</w:t>
            </w:r>
          </w:p>
        </w:tc>
        <w:tc>
          <w:tcPr/>
          <w:p>
            <w:pPr>
              <w:pStyle w:val="Compact"/>
            </w:pPr>
            <w:r>
              <w:t xml:space="preserve">a non-operator subscriber opened it</w:t>
            </w:r>
          </w:p>
        </w:tc>
      </w:tr>
      <w:tr>
        <w:tc>
          <w:tcPr/>
          <w:p>
            <w:pPr>
              <w:pStyle w:val="Compact"/>
            </w:pPr>
            <w:r>
              <w:t xml:space="preserve">handle ==</w:t>
            </w:r>
            <w:r>
              <w:t xml:space="preserve"> </w:t>
            </w:r>
            <w:r>
              <w:rPr>
                <w:rStyle w:val="VerbatimChar"/>
              </w:rPr>
              <w:t xml:space="preserve">"Claude"</w:t>
            </w:r>
          </w:p>
        </w:tc>
        <w:tc>
          <w:tcPr/>
          <w:p>
            <w:pPr>
              <w:pStyle w:val="Compact"/>
            </w:pPr>
            <w:r>
              <w:rPr>
                <w:b/>
                <w:bCs/>
              </w:rPr>
              <w:t xml:space="preserve">no</w:t>
            </w:r>
          </w:p>
        </w:tc>
        <w:tc>
          <w:tcPr/>
          <w:p>
            <w:pPr>
              <w:pStyle w:val="Compact"/>
            </w:pPr>
            <w:r>
              <w:rPr>
                <w:rStyle w:val="VerbatimChar"/>
              </w:rPr>
              <w:t xml:space="preserve">Claude</w:t>
            </w:r>
            <w:r>
              <w:t xml:space="preserve"> </w:t>
            </w:r>
            <w:r>
              <w:t xml:space="preserve">is the system; never tagged</w:t>
            </w:r>
          </w:p>
        </w:tc>
      </w:tr>
      <w:tr>
        <w:tc>
          <w:tcPr/>
          <w:p>
            <w:pPr>
              <w:pStyle w:val="Compact"/>
            </w:pPr>
            <w:r>
              <w:t xml:space="preserve">handle == Operator</w:t>
            </w:r>
          </w:p>
        </w:tc>
        <w:tc>
          <w:tcPr/>
          <w:p>
            <w:pPr>
              <w:pStyle w:val="Compact"/>
            </w:pPr>
            <w:r>
              <w:rPr>
                <w:b/>
                <w:bCs/>
              </w:rPr>
              <w:t xml:space="preserve">no</w:t>
            </w:r>
          </w:p>
        </w:tc>
        <w:tc>
          <w:tcPr/>
          <w:p>
            <w:pPr>
              <w:pStyle w:val="Compact"/>
            </w:pPr>
            <w:r>
              <w:t xml:space="preserve">the operator drives the system; no self-ping</w:t>
            </w:r>
          </w:p>
        </w:tc>
      </w:tr>
    </w:tbl>
    <w:p>
      <w:pPr>
        <w:pStyle w:val="BodyText"/>
      </w:pPr>
      <w:r>
        <w:t xml:space="preserve">De-dup the resulting set; for each mention resolve</w:t>
      </w:r>
      <w:r>
        <w:t xml:space="preserve"> </w:t>
      </w:r>
      <w:r>
        <w:rPr>
          <w:rStyle w:val="VerbatimChar"/>
        </w:rPr>
        <w:t xml:space="preserve">UsernameFor(handle, channel)</w:t>
      </w:r>
      <w:r>
        <w:t xml:space="preserve"> </w:t>
      </w:r>
      <w:r>
        <w:t xml:space="preserve">and</w:t>
      </w:r>
      <w:r>
        <w:t xml:space="preserve"> </w:t>
      </w:r>
      <w:r>
        <w:rPr>
          <w:b/>
          <w:bCs/>
        </w:rPr>
        <w:t xml:space="preserve">skip</w:t>
      </w:r>
      <w:r>
        <w:t xml:space="preserve"> </w:t>
      </w:r>
      <w:r>
        <w:t xml:space="preserve">if the participant has no alias on that channel (you cannot tag someone not on that messenger). This satisfies the operator's stated cases: assigned-to-Operator → no tag; opened-by-Operator-assigned-to-another → tag the assignee; opened-by-a-non-Operator-non-Claude subscriber → tag them.</w:t>
      </w:r>
    </w:p>
    <w:bookmarkEnd w:id="40"/>
    <w:bookmarkStart w:id="41" w:name="Xa972c07eb516c7498e61de0ee9da17b21eabb72"/>
    <w:p>
      <w:pPr>
        <w:pStyle w:val="Heading4"/>
      </w:pPr>
      <w:r>
        <w:t xml:space="preserve">§109.5. Storage, wiring &amp; anti-bluff</w:t>
      </w:r>
    </w:p>
    <w:p>
      <w:pPr>
        <w:pStyle w:val="Compact"/>
        <w:numPr>
          <w:ilvl w:val="0"/>
          <w:numId w:val="1015"/>
        </w:numPr>
      </w:pPr>
      <w:r>
        <w:rPr>
          <w:b/>
          <w:bCs/>
        </w:rPr>
        <w:t xml:space="preserve">Storage.</w:t>
      </w:r>
      <w:r>
        <w:t xml:space="preserve"> </w:t>
      </w:r>
      <w:r>
        <w:t xml:space="preserve">The workable-items SSoT</w:t>
      </w:r>
      <w:r>
        <w:t xml:space="preserve"> </w:t>
      </w:r>
      <w:r>
        <w:rPr>
          <w:rStyle w:val="VerbatimChar"/>
        </w:rPr>
        <w:t xml:space="preserve">items</w:t>
      </w:r>
      <w:r>
        <w:t xml:space="preserve"> </w:t>
      </w:r>
      <w:r>
        <w:t xml:space="preserve">table gains</w:t>
      </w:r>
      <w:r>
        <w:t xml:space="preserve"> </w:t>
      </w:r>
      <w:r>
        <w:rPr>
          <w:rStyle w:val="VerbatimChar"/>
        </w:rPr>
        <w:t xml:space="preserve">created_by TEXT NOT NULL DEFAULT ''</w:t>
      </w:r>
      <w:r>
        <w:t xml:space="preserve"> </w:t>
      </w:r>
      <w:r>
        <w:t xml:space="preserve">+</w:t>
      </w:r>
      <w:r>
        <w:t xml:space="preserve"> </w:t>
      </w:r>
      <w:r>
        <w:rPr>
          <w:rStyle w:val="VerbatimChar"/>
        </w:rPr>
        <w:t xml:space="preserve">assigned_to TEXT NOT NULL DEFAULT ''</w:t>
      </w:r>
      <w:r>
        <w:t xml:space="preserve"> </w:t>
      </w:r>
      <w:r>
        <w:t xml:space="preserve">(parser reads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renderer writes them; byte-identical round-trip;</w:t>
      </w:r>
      <w:r>
        <w:t xml:space="preserve"> </w:t>
      </w:r>
      <w:r>
        <w:rPr>
          <w:rStyle w:val="VerbatimChar"/>
        </w:rPr>
        <w:t xml:space="preserve">validate</w:t>
      </w:r>
      <w:r>
        <w:t xml:space="preserve"> </w:t>
      </w:r>
      <w:r>
        <w:t xml:space="preserve">accepts empty for legacy).</w:t>
      </w:r>
      <w:r>
        <w:t xml:space="preserve"> </w:t>
      </w:r>
      <w:r>
        <w:rPr>
          <w:rStyle w:val="VerbatimChar"/>
        </w:rPr>
        <w:t xml:space="preserve">commons_workable.Item</w:t>
      </w:r>
      <w:r>
        <w:t xml:space="preserve"> </w:t>
      </w:r>
      <w:r>
        <w:t xml:space="preserve">gains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the change-feed emits</w:t>
      </w:r>
      <w:r>
        <w:t xml:space="preserve"> </w:t>
      </w:r>
      <w:r>
        <w:rPr>
          <w:rStyle w:val="VerbatimChar"/>
        </w:rPr>
        <w:t xml:space="preserve">item.field.changed</w:t>
      </w:r>
      <w:r>
        <w:t xml:space="preserve"> </w:t>
      </w:r>
      <w:r>
        <w:t xml:space="preserve">for those fields. Markdown trackers add</w:t>
      </w:r>
      <w:r>
        <w:t xml:space="preserve"> </w:t>
      </w:r>
      <w:r>
        <w:rPr>
          <w:b/>
          <w:bCs/>
        </w:rPr>
        <w:t xml:space="preserve">Created-By</w:t>
      </w:r>
      <w:r>
        <w:t xml:space="preserve"> </w:t>
      </w:r>
      <w:r>
        <w:t xml:space="preserve">+</w:t>
      </w:r>
      <w:r>
        <w:t xml:space="preserve"> </w:t>
      </w:r>
      <w:r>
        <w:rPr>
          <w:b/>
          <w:bCs/>
        </w:rPr>
        <w:t xml:space="preserve">Assigned-To</w:t>
      </w:r>
      <w:r>
        <w:t xml:space="preserve"> </w:t>
      </w:r>
      <w:r>
        <w:t xml:space="preserve">columns/fields. PG migration adds</w:t>
      </w:r>
      <w:r>
        <w:t xml:space="preserve"> </w:t>
      </w:r>
      <w:r>
        <w:rPr>
          <w:rStyle w:val="VerbatimChar"/>
        </w:rPr>
        <w:t xml:space="preserve">subscriber_aliases.username</w:t>
      </w:r>
      <w:r>
        <w:t xml:space="preserve">.</w:t>
      </w:r>
    </w:p>
    <w:p>
      <w:pPr>
        <w:pStyle w:val="Compact"/>
        <w:numPr>
          <w:ilvl w:val="0"/>
          <w:numId w:val="1015"/>
        </w:numPr>
      </w:pPr>
      <w:r>
        <w:rPr>
          <w:b/>
          <w:bCs/>
        </w:rPr>
        <w:t xml:space="preserve">Wiring.</w:t>
      </w:r>
      <w:r>
        <w:t xml:space="preserve"> </w:t>
      </w:r>
      <w:r>
        <w:t xml:space="preserve">Inbound (</w:t>
      </w:r>
      <w:r>
        <w:rPr>
          <w:rStyle w:val="VerbatimChar"/>
        </w:rPr>
        <w:t xml:space="preserve">pherald/internal/inbound</w:t>
      </w:r>
      <w:r>
        <w:t xml:space="preserve">) sets</w:t>
      </w:r>
      <w:r>
        <w:t xml:space="preserve"> </w:t>
      </w:r>
      <w:r>
        <w:rPr>
          <w:rStyle w:val="VerbatimChar"/>
        </w:rPr>
        <w:t xml:space="preserve">created_by</w:t>
      </w:r>
      <w:r>
        <w:t xml:space="preserve"> </w:t>
      </w:r>
      <w:r>
        <w:t xml:space="preserve">via</w:t>
      </w:r>
      <w:r>
        <w:t xml:space="preserve"> </w:t>
      </w:r>
      <w:r>
        <w:rPr>
          <w:rStyle w:val="VerbatimChar"/>
        </w:rPr>
        <w:t xml:space="preserve">ResolveSender</w:t>
      </w:r>
      <w:r>
        <w:t xml:space="preserve">, defaults</w:t>
      </w:r>
      <w:r>
        <w:t xml:space="preserve"> </w:t>
      </w:r>
      <w:r>
        <w:rPr>
          <w:rStyle w:val="VerbatimChar"/>
        </w:rPr>
        <w:t xml:space="preserve">assigned_to = OperatorHandle()</w:t>
      </w:r>
      <w:r>
        <w:t xml:space="preserve">; Claude-opened items use</w:t>
      </w:r>
      <w:r>
        <w:t xml:space="preserve"> </w:t>
      </w:r>
      <w:r>
        <w:rPr>
          <w:rStyle w:val="VerbatimChar"/>
        </w:rPr>
        <w:t xml:space="preserve">created_by = "Claude"</w:t>
      </w:r>
      <w:r>
        <w:t xml:space="preserve">. Outbound (</w:t>
      </w:r>
      <w:r>
        <w:rPr>
          <w:rStyle w:val="VerbatimChar"/>
        </w:rPr>
        <w:t xml:space="preserve">pherald/internal/workflow</w:t>
      </w:r>
      <w:r>
        <w:t xml:space="preserve">) calls</w:t>
      </w:r>
      <w:r>
        <w:t xml:space="preserve"> </w:t>
      </w:r>
      <w:r>
        <w:rPr>
          <w:rStyle w:val="VerbatimChar"/>
        </w:rPr>
        <w:t xml:space="preserve">MentionsFor</w:t>
      </w:r>
      <w:r>
        <w:t xml:space="preserve"> </w:t>
      </w:r>
      <w:r>
        <w:t xml:space="preserve">and prepends/appends the resolved</w:t>
      </w:r>
      <w:r>
        <w:t xml:space="preserve"> </w:t>
      </w:r>
      <w:r>
        <w:rPr>
          <w:rStyle w:val="VerbatimChar"/>
        </w:rPr>
        <w:t xml:space="preserve">@username</w:t>
      </w:r>
      <w:r>
        <w:t xml:space="preserve">s to the dispatched body per channel; 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(other adapters render their channel's mention syntax — future).</w:t>
      </w:r>
    </w:p>
    <w:p>
      <w:pPr>
        <w:pStyle w:val="Compact"/>
        <w:numPr>
          <w:ilvl w:val="0"/>
          <w:numId w:val="1015"/>
        </w:numPr>
      </w:pPr>
      <w:r>
        <w:rPr>
          <w:b/>
          <w:bCs/>
        </w:rPr>
        <w:t xml:space="preserve">Anti-bluff (§107 / Helix §11.4).</w:t>
      </w:r>
      <w:r>
        <w:t xml:space="preserve"> </w:t>
      </w:r>
      <w:r>
        <w:t xml:space="preserve">Every layer ships unit + integration + E2E + full-automation tests with real captured evidence under</w:t>
      </w:r>
      <w:r>
        <w:t xml:space="preserve"> </w:t>
      </w:r>
      <w:r>
        <w:rPr>
          <w:rStyle w:val="VerbatimChar"/>
        </w:rPr>
        <w:t xml:space="preserve">docs/qa/&lt;run-id&gt;/</w:t>
      </w:r>
      <w:r>
        <w:t xml:space="preserve">: real SQLite round-trip with the new columns (byte-identical); a real</w:t>
      </w:r>
      <w:r>
        <w:t xml:space="preserve"> </w:t>
      </w:r>
      <w:r>
        <w:rPr>
          <w:rStyle w:val="VerbatimChar"/>
        </w:rPr>
        <w:t xml:space="preserve">IdentityResolver</w:t>
      </w:r>
      <w:r>
        <w:t xml:space="preserve"> </w:t>
      </w:r>
      <w:r>
        <w:t xml:space="preserve">over real</w:t>
      </w:r>
      <w:r>
        <w:t xml:space="preserve"> </w:t>
      </w:r>
      <w:r>
        <w:rPr>
          <w:rStyle w:val="VerbatimChar"/>
        </w:rPr>
        <w:t xml:space="preserve">subscribers</w:t>
      </w:r>
      <w:r>
        <w:t xml:space="preserve">/</w:t>
      </w:r>
      <w:r>
        <w:rPr>
          <w:rStyle w:val="VerbatimChar"/>
        </w:rPr>
        <w:t xml:space="preserve">subscriber_aliases</w:t>
      </w:r>
      <w:r>
        <w:t xml:space="preserve">; the tagging matrix proven by a truth-table test covering every cell + a per-cell-flip mutation that must FAIL; an E2E with a real item event → a real dispatched message whose body contains exactly the expected</w:t>
      </w:r>
      <w:r>
        <w:t xml:space="preserve"> </w:t>
      </w:r>
      <w:r>
        <w:rPr>
          <w:rStyle w:val="VerbatimChar"/>
        </w:rPr>
        <w:t xml:space="preserve">@username</w:t>
      </w:r>
      <w:r>
        <w:t xml:space="preserve">s, plus a NEGATIVE case proving the Operator is NOT tagged.</w:t>
      </w:r>
    </w:p>
    <w:p>
      <w:pPr>
        <w:pStyle w:val="FirstParagraph"/>
      </w:pPr>
      <w:r>
        <w:rPr>
          <w:b/>
          <w:bCs/>
        </w:rPr>
        <w:t xml:space="preserve">Non-compliance is a release blocker.</w:t>
      </w:r>
      <w:r>
        <w:t xml:space="preserve"> </w:t>
      </w:r>
      <w:r>
        <w:t xml:space="preserve">Documenting behaviour without the captured evidence above is itself a §107 PASS-bluff. No</w:t>
      </w:r>
      <w:r>
        <w:t xml:space="preserve"> </w:t>
      </w:r>
      <w:r>
        <w:rPr>
          <w:rStyle w:val="VerbatimChar"/>
        </w:rPr>
        <w:t xml:space="preserve">--skip-attribution</w:t>
      </w:r>
      <w:r>
        <w:t xml:space="preserve">,</w:t>
      </w:r>
      <w:r>
        <w:t xml:space="preserve"> </w:t>
      </w:r>
      <w:r>
        <w:rPr>
          <w:rStyle w:val="VerbatimChar"/>
        </w:rPr>
        <w:t xml:space="preserve">--tag-later</w:t>
      </w:r>
      <w:r>
        <w:t xml:space="preserve">,</w:t>
      </w:r>
      <w:r>
        <w:t xml:space="preserve"> </w:t>
      </w:r>
      <w:r>
        <w:rPr>
          <w:rStyle w:val="VerbatimChar"/>
        </w:rPr>
        <w:t xml:space="preserve">--operator-tag-OK</w:t>
      </w:r>
      <w:r>
        <w:t xml:space="preserve"> </w:t>
      </w:r>
      <w:r>
        <w:t xml:space="preserve">flag exists.</w:t>
      </w:r>
    </w:p>
    <w:p>
      <w:r>
        <w:pict>
          <v:rect style="width:0;height:1.5pt" o:hralign="center" o:hrstd="t" o:hr="t"/>
        </w:pict>
      </w:r>
    </w:p>
    <w:bookmarkEnd w:id="41"/>
    <w:bookmarkEnd w:id="42"/>
    <w:bookmarkStart w:id="49" w:name="Xc77a820bd20c0c7d8a0b25c8be8bec59a44738b"/>
    <w:p>
      <w:pPr>
        <w:pStyle w:val="Heading3"/>
      </w:pPr>
      <w:r>
        <w:t xml:space="preserve">§110. Intent recognition &amp; clarification (operator mandate, 2026-05-31; inherited from HelixConstitution §11.4.105 per §11.4.35)</w:t>
      </w:r>
    </w:p>
    <w:p>
      <w:pPr>
        <w:pStyle w:val="FirstParagraph"/>
      </w:pPr>
      <w:r>
        <w:rPr>
          <w:b/>
          <w:bCs/>
        </w:rPr>
        <w:t xml:space="preserve">Forensic anchor — verbatim operator mandate (2026-05-31):</w:t>
      </w:r>
    </w:p>
    <w:p>
      <w:pPr>
        <w:pStyle w:val="BlockText"/>
      </w:pPr>
      <w:r>
        <w:t xml:space="preserve">users must NOT need to know command syntax (no</w:t>
      </w:r>
      <w:r>
        <w:t xml:space="preserve"> </w:t>
      </w:r>
      <w:r>
        <w:rPr>
          <w:rStyle w:val="VerbatimChar"/>
        </w:rPr>
        <w:t xml:space="preserve">COMMAND: …</w:t>
      </w:r>
      <w:r>
        <w:t xml:space="preserve">). They send a clear natural-language message; the System determines the intent. The System recognizes the commands it has; if none matches it infers the exact intent; if it is</w:t>
      </w:r>
      <w:r>
        <w:t xml:space="preserve"> </w:t>
      </w:r>
      <w:r>
        <w:rPr>
          <w:i/>
          <w:iCs/>
        </w:rPr>
        <w:t xml:space="preserve">totally unable</w:t>
      </w:r>
      <w:r>
        <w:t xml:space="preserve"> </w:t>
      </w:r>
      <w:r>
        <w:t xml:space="preserve">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43">
        <w:r>
          <w:rPr>
            <w:rStyle w:val="VerbatimChar"/>
          </w:rPr>
          <w:t xml:space="preserve">docs/design/INTENT_RECOGNITION.md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per §11.4.35; Herald §110 is the project-binding restatement. Herald</w:t>
      </w:r>
      <w:r>
        <w:t xml:space="preserve"> </w:t>
      </w:r>
      <w:r>
        <w:rPr>
          <w:b/>
          <w:bCs/>
        </w:rPr>
        <w:t xml:space="preserve">restates + cites</w:t>
      </w:r>
      <w:r>
        <w:t xml:space="preserve">, it does NOT redefine or weaken.</w:t>
      </w:r>
    </w:p>
    <w:bookmarkStart w:id="44" w:name="Xfd01890e4fea6d634857963bba6586ac5e20db5"/>
    <w:p>
      <w:pPr>
        <w:pStyle w:val="Heading4"/>
      </w:pPr>
      <w:r>
        <w:t xml:space="preserve">§110.1. No command syntax required</w:t>
      </w:r>
    </w:p>
    <w:p>
      <w:pPr>
        <w:pStyle w:val="FirstParagraph"/>
      </w:pPr>
      <w:r>
        <w:t xml:space="preserve">Subscribers speak</w:t>
      </w:r>
      <w:r>
        <w:t xml:space="preserve"> </w:t>
      </w:r>
      <w:r>
        <w:rPr>
          <w:b/>
          <w:bCs/>
        </w:rPr>
        <w:t xml:space="preserve">plain natural language</w:t>
      </w:r>
      <w:r>
        <w:t xml:space="preserve">. There is no</w:t>
      </w:r>
      <w:r>
        <w:t xml:space="preserve"> </w:t>
      </w:r>
      <w:r>
        <w:rPr>
          <w:rStyle w:val="VerbatimChar"/>
        </w:rPr>
        <w:t xml:space="preserve">COMMAND:</w:t>
      </w:r>
      <w:r>
        <w:t xml:space="preserve"> </w:t>
      </w:r>
      <w:r>
        <w:t xml:space="preserve">prefix, no fixed grammar, and nothing the end user must memorize. Herald's job is to determine the intent from the message itself. A subscriber writing "can you close ATM-123 please" is exactly as valid as any other phrasing — the System maps it to the right action.</w:t>
      </w:r>
    </w:p>
    <w:bookmarkEnd w:id="44"/>
    <w:bookmarkStart w:id="45" w:name="Xbd5a751750811342c080c106feee915ba2f02ba"/>
    <w:p>
      <w:pPr>
        <w:pStyle w:val="Heading4"/>
      </w:pPr>
      <w:r>
        <w:t xml:space="preserve">§110.2. Three-tier intent resolution (the mandatory discipline)</w:t>
      </w:r>
    </w:p>
    <w:p>
      <w:pPr>
        <w:pStyle w:val="FirstParagraph"/>
      </w:pPr>
      <w:r>
        <w:t xml:space="preserve">Every inbound subscriber message is resolved to exactly one action via three tiers, in order — the</w:t>
      </w:r>
      <w:r>
        <w:t xml:space="preserve"> </w:t>
      </w:r>
      <w:r>
        <w:rPr>
          <w:b/>
          <w:bCs/>
        </w:rPr>
        <w:t xml:space="preserve">first tier that succeeds wins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Mechanism</w:t>
            </w:r>
          </w:p>
        </w:tc>
        <w:tc>
          <w:tcPr/>
          <w:p>
            <w:pPr>
              <w:pStyle w:val="Compact"/>
            </w:pPr>
            <w:r>
              <w:t xml:space="preserve">Behaviour</w:t>
            </w:r>
          </w:p>
        </w:tc>
      </w:tr>
      <w:tr>
        <w:tc>
          <w:tcPr/>
          <w:p>
            <w:pPr>
              <w:pStyle w:val="Compact"/>
            </w:pPr>
            <w:r>
              <w:rPr>
                <w:b/>
                <w:bCs/>
              </w:rPr>
              <w:t xml:space="preserve">Tier 1 — command recognition</w:t>
            </w:r>
          </w:p>
        </w:tc>
        <w:tc>
          <w:tcPr/>
          <w:p>
            <w:pPr>
              <w:pStyle w:val="Compact"/>
            </w:pPr>
            <w:r>
              <w:t xml:space="preserve">A deterministic</w:t>
            </w:r>
            <w:r>
              <w:t xml:space="preserve"> </w:t>
            </w:r>
            <w:r>
              <w:rPr>
                <w:rStyle w:val="VerbatimChar"/>
              </w:rPr>
              <w:t xml:space="preserve">CommandRecognizer</w:t>
            </w:r>
            <w:r>
              <w:t xml:space="preserve"> </w:t>
            </w:r>
            <w:r>
              <w:t xml:space="preserve">in</w:t>
            </w:r>
            <w:r>
              <w:t xml:space="preserve"> </w:t>
            </w:r>
            <w:r>
              <w:rPr>
                <w:rStyle w:val="VerbatimChar"/>
              </w:rPr>
              <w:t xml:space="preserve">pherald/internal/inbound</w:t>
            </w:r>
            <w:r>
              <w:t xml:space="preserve">, tried BEFORE any LLM dispatch.</w:t>
            </w:r>
          </w:p>
        </w:tc>
        <w:tc>
          <w:tcPr/>
          <w:p>
            <w:pPr>
              <w:pStyle w:val="Compact"/>
            </w:pPr>
            <w:r>
              <w:t xml:space="preserve">Maps a clear natural-language imperative to a structured action WITHOUT an LLM round-trip (fast-path; no prefix). Deliberately CONSERVATIVE — only a confident match (clear imperative verb + resolvable target) fast-paths; otherwise it returns "no match" and defers to Tier 2. A false command-match is worse than deferring to the LLM.</w:t>
            </w:r>
          </w:p>
        </w:tc>
      </w:tr>
      <w:tr>
        <w:tc>
          <w:tcPr/>
          <w:p>
            <w:pPr>
              <w:pStyle w:val="Compact"/>
            </w:pPr>
            <w:r>
              <w:rPr>
                <w:b/>
                <w:bCs/>
              </w:rPr>
              <w:t xml:space="preserve">Tier 2 — intent inference</w:t>
            </w:r>
          </w:p>
        </w:tc>
        <w:tc>
          <w:tcPr/>
          <w:p>
            <w:pPr>
              <w:pStyle w:val="Compact"/>
            </w:pPr>
            <w:r>
              <w:t xml:space="preserve">The Claude Code dispatch (the LLM) when no command matched.</w:t>
            </w:r>
          </w:p>
        </w:tc>
        <w:tc>
          <w:tcPr/>
          <w:p>
            <w:pPr>
              <w:pStyle w:val="Compact"/>
            </w:pPr>
            <w:r>
              <w:t xml:space="preserve">Infers the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p>
        </w:tc>
      </w:tr>
      <w:tr>
        <w:tc>
          <w:tcPr/>
          <w:p>
            <w:pPr>
              <w:pStyle w:val="Compact"/>
            </w:pPr>
            <w:r>
              <w:rPr>
                <w:b/>
                <w:bCs/>
              </w:rPr>
              <w:t xml:space="preserve">Tier 3 — clarify (fallback)</w:t>
            </w:r>
          </w:p>
        </w:tc>
        <w:tc>
          <w:tcPr/>
          <w:p>
            <w:pPr>
              <w:pStyle w:val="Compact"/>
            </w:pPr>
            <w:r>
              <w:rPr>
                <w:rStyle w:val="VerbatimChar"/>
              </w:rPr>
              <w:t xml:space="preserve">action="clarify"</w:t>
            </w:r>
            <w:r>
              <w:t xml:space="preserve"> </w:t>
            </w:r>
            <w:r>
              <w:t xml:space="preserve">when neither a command nor a confident intent can be determined.</w:t>
            </w:r>
          </w:p>
        </w:tc>
        <w:tc>
          <w:tcPr/>
          <w:p>
            <w:pPr>
              <w:pStyle w:val="Compact"/>
            </w:pPr>
            <w:r>
              <w:t xml:space="preserve">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IdentityResolver.UsernameFor</w:t>
            </w:r>
            <w:r>
              <w:t xml:space="preserve"> </w:t>
            </w:r>
            <w:r>
              <w:t xml:space="preserve">— fall back to the raw sender handle if no alias), and asks a precise clarifying question naming the candidate intents. No guessing, no silent drop.</w:t>
            </w:r>
          </w:p>
        </w:tc>
      </w:tr>
    </w:tbl>
    <w:p>
      <w:pPr>
        <w:pStyle w:val="BodyText"/>
      </w:pPr>
      <w:r>
        <w:t xml:space="preserve">Tier 3 is the</w:t>
      </w:r>
      <w:r>
        <w:t xml:space="preserve"> </w:t>
      </w:r>
      <w:r>
        <w:rPr>
          <w:b/>
          <w:bCs/>
        </w:rPr>
        <w:t xml:space="preserve">anti-annoyance guarantee</w:t>
      </w:r>
      <w:r>
        <w:t xml:space="preserve">: the subscriber is never ignored and never has to learn syntax — at worst they get a friendly, specific "@user, did you mean X or Y?" rather than a generic "I didn't understand".</w:t>
      </w:r>
    </w:p>
    <w:bookmarkEnd w:id="45"/>
    <w:bookmarkStart w:id="46" w:name="X155f26562f386a22b7cca12ca7f711538668751"/>
    <w:p>
      <w:pPr>
        <w:pStyle w:val="Heading4"/>
      </w:pPr>
      <w:r>
        <w:t xml:space="preserve">§110.3. The command set Tier 1 recognizes (natural-language → action)</w:t>
      </w:r>
    </w:p>
    <w:p>
      <w:pPr>
        <w:pStyle w:val="FirstParagraph"/>
      </w:pPr>
      <w:r>
        <w:t xml:space="preserve">The recognizer maps unambiguous imperatives (with an</w:t>
      </w:r>
      <w:r>
        <w:t xml:space="preserve"> </w:t>
      </w:r>
      <w:r>
        <w:rPr>
          <w:rStyle w:val="VerbatimChar"/>
        </w:rPr>
        <w:t xml:space="preserve">ATM-NNN</w:t>
      </w:r>
      <w:r>
        <w:t xml:space="preserve">/item id where relevant) to the EXISTING inbound actions — no special prefix, case-insensitive, phrasing-tolerant: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Natural-language intent (examples)</w:t>
            </w:r>
          </w:p>
        </w:tc>
        <w:tc>
          <w:tcPr/>
          <w:p>
            <w:pPr>
              <w:pStyle w:val="Compact"/>
            </w:pPr>
            <w:r>
              <w:t xml:space="preserve">action</w:t>
            </w:r>
          </w:p>
        </w:tc>
        <w:tc>
          <w:tcPr/>
          <w:p>
            <w:pPr>
              <w:pStyle w:val="Compact"/>
            </w:pPr>
            <w:r>
              <w:t xml:space="preserve">fields</w:t>
            </w:r>
          </w:p>
        </w:tc>
      </w:tr>
      <w:tr>
        <w:tc>
          <w:tcPr/>
          <w:p>
            <w:pPr>
              <w:pStyle w:val="Compact"/>
            </w:pPr>
            <w:r>
              <w:t xml:space="preserve">"close ATM-123", "mark ATM-5 fixed/done/resolved"</w:t>
            </w:r>
          </w:p>
        </w:tc>
        <w:tc>
          <w:tcPr/>
          <w:p>
            <w:pPr>
              <w:pStyle w:val="Compact"/>
            </w:pPr>
            <w:r>
              <w:rPr>
                <w:rStyle w:val="VerbatimChar"/>
              </w:rPr>
              <w:t xml:space="preserve">item.update</w:t>
            </w:r>
          </w:p>
        </w:tc>
        <w:tc>
          <w:tcPr/>
          <w:p>
            <w:pPr>
              <w:pStyle w:val="Compact"/>
            </w:pPr>
            <w:r>
              <w:t xml:space="preserve">status=closed/fixed</w:t>
            </w:r>
          </w:p>
        </w:tc>
      </w:tr>
      <w:tr>
        <w:tc>
          <w:tcPr/>
          <w:p>
            <w:pPr>
              <w:pStyle w:val="Compact"/>
            </w:pPr>
            <w:r>
              <w:t xml:space="preserve">"set ATM-9 to in progress", "ATM-9 is blocked"</w:t>
            </w:r>
          </w:p>
        </w:tc>
        <w:tc>
          <w:tcPr/>
          <w:p>
            <w:pPr>
              <w:pStyle w:val="Compact"/>
            </w:pPr>
            <w:r>
              <w:rPr>
                <w:rStyle w:val="VerbatimChar"/>
              </w:rPr>
              <w:t xml:space="preserve">item.update</w:t>
            </w:r>
          </w:p>
        </w:tc>
        <w:tc>
          <w:tcPr/>
          <w:p>
            <w:pPr>
              <w:pStyle w:val="Compact"/>
            </w:pPr>
            <w:r>
              <w:t xml:space="preserve">status=&lt;parsed&gt;</w:t>
            </w:r>
          </w:p>
        </w:tc>
      </w:tr>
      <w:tr>
        <w:tc>
          <w:tcPr/>
          <w:p>
            <w:pPr>
              <w:pStyle w:val="Compact"/>
            </w:pPr>
            <w:r>
              <w:t xml:space="preserve">"assign ATM-5 to @bob", "give ATM-5 to @bob"</w:t>
            </w:r>
          </w:p>
        </w:tc>
        <w:tc>
          <w:tcPr/>
          <w:p>
            <w:pPr>
              <w:pStyle w:val="Compact"/>
            </w:pPr>
            <w:r>
              <w:rPr>
                <w:rStyle w:val="VerbatimChar"/>
              </w:rPr>
              <w:t xml:space="preserve">item.update</w:t>
            </w:r>
          </w:p>
        </w:tc>
        <w:tc>
          <w:tcPr/>
          <w:p>
            <w:pPr>
              <w:pStyle w:val="Compact"/>
            </w:pPr>
            <w:r>
              <w:t xml:space="preserve">assigned_to=@bob</w:t>
            </w:r>
          </w:p>
        </w:tc>
      </w:tr>
      <w:tr>
        <w:tc>
          <w:tcPr/>
          <w:p>
            <w:pPr>
              <w:pStyle w:val="Compact"/>
            </w:pPr>
            <w:r>
              <w:t xml:space="preserve">"open a bug: &lt;title&gt;", "create a task: &lt;title&gt;", "new feature request: &lt;title&gt;"</w:t>
            </w:r>
          </w:p>
        </w:tc>
        <w:tc>
          <w:tcPr/>
          <w:p>
            <w:pPr>
              <w:pStyle w:val="Compact"/>
            </w:pPr>
            <w:r>
              <w:rPr>
                <w:rStyle w:val="VerbatimChar"/>
              </w:rPr>
              <w:t xml:space="preserve">issue.open</w:t>
            </w:r>
          </w:p>
        </w:tc>
        <w:tc>
          <w:tcPr/>
          <w:p>
            <w:pPr>
              <w:pStyle w:val="Compact"/>
            </w:pPr>
            <w:r>
              <w:t xml:space="preserve">type+title (created_by=sender)</w:t>
            </w:r>
          </w:p>
        </w:tc>
      </w:tr>
      <w:tr>
        <w:tc>
          <w:tcPr/>
          <w:p>
            <w:pPr>
              <w:pStyle w:val="Compact"/>
            </w:pPr>
            <w:r>
              <w:t xml:space="preserve">"investigate ATM-7", "look into ATM-7"</w:t>
            </w:r>
          </w:p>
        </w:tc>
        <w:tc>
          <w:tcPr/>
          <w:p>
            <w:pPr>
              <w:pStyle w:val="Compact"/>
            </w:pPr>
            <w:r>
              <w:rPr>
                <w:rStyle w:val="VerbatimChar"/>
              </w:rPr>
              <w:t xml:space="preserve">investigation.start</w:t>
            </w:r>
          </w:p>
        </w:tc>
        <w:tc>
          <w:tcPr/>
          <w:p>
            <w:pPr>
              <w:pStyle w:val="Compact"/>
            </w:pPr>
            <w:r>
              <w:t xml:space="preserve">atm_id</w:t>
            </w:r>
          </w:p>
        </w:tc>
      </w:tr>
      <w:tr>
        <w:tc>
          <w:tcPr/>
          <w:p>
            <w:pPr>
              <w:pStyle w:val="Compact"/>
            </w:pPr>
            <w:r>
              <w:t xml:space="preserve">"status of ATM-9?", "what's ATM-9?"</w:t>
            </w:r>
          </w:p>
        </w:tc>
        <w:tc>
          <w:tcPr/>
          <w:p>
            <w:pPr>
              <w:pStyle w:val="Compact"/>
            </w:pPr>
            <w:r>
              <w:rPr>
                <w:rStyle w:val="VerbatimChar"/>
              </w:rPr>
              <w:t xml:space="preserve">reply</w:t>
            </w:r>
            <w:r>
              <w:t xml:space="preserve"> </w:t>
            </w:r>
            <w:r>
              <w:t xml:space="preserve">(query)</w:t>
            </w:r>
          </w:p>
        </w:tc>
        <w:tc>
          <w:tcPr/>
          <w:p>
            <w:pPr>
              <w:pStyle w:val="Compact"/>
            </w:pPr>
            <w:r>
              <w:t xml:space="preserve">atm_id</w:t>
            </w:r>
          </w:p>
        </w:tc>
      </w:tr>
      <w:tr>
        <w:tc>
          <w:tcPr/>
          <w:p>
            <w:pPr>
              <w:pStyle w:val="Compact"/>
            </w:pPr>
            <w:r>
              <w:t xml:space="preserve">anything conversational / a question</w:t>
            </w:r>
          </w:p>
        </w:tc>
        <w:tc>
          <w:tcPr/>
          <w:p>
            <w:pPr>
              <w:pStyle w:val="Compact"/>
            </w:pPr>
            <w:r>
              <w:rPr>
                <w:rStyle w:val="VerbatimChar"/>
              </w:rPr>
              <w:t xml:space="preserve">reply</w:t>
            </w:r>
          </w:p>
        </w:tc>
        <w:tc>
          <w:tcPr/>
          <w:p>
            <w:pPr>
              <w:pStyle w:val="Compact"/>
            </w:pPr>
            <w:r>
              <w:t xml:space="preserve">—</w:t>
            </w:r>
          </w:p>
        </w:tc>
      </w:tr>
      <w:tr>
        <w:tc>
          <w:tcPr/>
          <w:p>
            <w:pPr>
              <w:pStyle w:val="Compact"/>
            </w:pPr>
            <w:r>
              <w:t xml:space="preserve">ambiguous / unparseable intent</w:t>
            </w:r>
          </w:p>
        </w:tc>
        <w:tc>
          <w:tcPr/>
          <w:p>
            <w:pPr>
              <w:pStyle w:val="Compact"/>
            </w:pPr>
            <w:r>
              <w:rPr>
                <w:rStyle w:val="VerbatimChar"/>
              </w:rPr>
              <w:t xml:space="preserve">clarify</w:t>
            </w:r>
          </w:p>
        </w:tc>
        <w:tc>
          <w:tcPr/>
          <w:p>
            <w:pPr>
              <w:pStyle w:val="Compact"/>
            </w:pPr>
            <w:r>
              <w:t xml:space="preserve">question</w:t>
            </w:r>
          </w:p>
        </w:tc>
      </w:tr>
    </w:tbl>
    <w:bookmarkEnd w:id="46"/>
    <w:bookmarkStart w:id="47" w:name="Xbded5d395c9c46b96ba69e51c246a5d8ec51b37"/>
    <w:p>
      <w:pPr>
        <w:pStyle w:val="Heading4"/>
      </w:pPr>
      <w:r>
        <w:t xml:space="preserve">§110.4. The</w:t>
      </w:r>
      <w:r>
        <w:t xml:space="preserve"> </w:t>
      </w:r>
      <w:r>
        <w:rPr>
          <w:rStyle w:val="VerbatimChar"/>
        </w:rPr>
        <w:t xml:space="preserve">clarify</w:t>
      </w:r>
      <w:r>
        <w:t xml:space="preserve"> </w:t>
      </w:r>
      <w:r>
        <w:t xml:space="preserve">action — never guess, never ignore</w:t>
      </w:r>
    </w:p>
    <w:p>
      <w:pPr>
        <w:pStyle w:val="FirstParagraph"/>
      </w:pPr>
      <w:r>
        <w:rPr>
          <w:rStyle w:val="VerbatimChar"/>
        </w:rPr>
        <w:t xml:space="preserve">&lt;&lt;&lt;HERALD-REPLY&gt;&gt;&gt;</w:t>
      </w:r>
      <w:r>
        <w:t xml:space="preserve"> </w:t>
      </w:r>
      <w:r>
        <w:t xml:space="preserve">gains</w:t>
      </w:r>
      <w:r>
        <w:t xml:space="preserve"> </w:t>
      </w:r>
      <w:r>
        <w:rPr>
          <w:rStyle w:val="VerbatimChar"/>
        </w:rPr>
        <w:t xml:space="preserve">action: "clarify"</w:t>
      </w:r>
      <w:r>
        <w:t xml:space="preserve"> </w:t>
      </w:r>
      <w:r>
        <w:t xml:space="preserve">carrying a precise</w:t>
      </w:r>
      <w:r>
        <w:t xml:space="preserve"> </w:t>
      </w:r>
      <w:r>
        <w:rPr>
          <w:rStyle w:val="VerbatimChar"/>
        </w:rPr>
        <w:t xml:space="preserve">question</w:t>
      </w:r>
      <w:r>
        <w:t xml:space="preserve">. On</w:t>
      </w:r>
      <w:r>
        <w:t xml:space="preserve"> </w:t>
      </w:r>
      <w:r>
        <w:rPr>
          <w:rStyle w:val="VerbatimChar"/>
        </w:rPr>
        <w:t xml:space="preserve">action=clarify</w:t>
      </w:r>
      <w:r>
        <w:t xml:space="preserve">, the inbound handler sends a reply to the original message (quoting/threading it) whose body is</w:t>
      </w:r>
      <w:r>
        <w:t xml:space="preserve"> </w:t>
      </w:r>
      <w:r>
        <w:rPr>
          <w:rStyle w:val="VerbatimChar"/>
        </w:rPr>
        <w:t xml:space="preserve">@&lt;sender-username&gt; &lt;question&gt;</w:t>
      </w:r>
      <w:r>
        <w:t xml:space="preserve"> </w:t>
      </w:r>
      <w:r>
        <w:t xml:space="preserve">— the sender resolved to their per-channel</w:t>
      </w:r>
      <w:r>
        <w:t xml:space="preserve"> </w:t>
      </w:r>
      <w:r>
        <w:rPr>
          <w:rStyle w:val="VerbatimChar"/>
        </w:rPr>
        <w:t xml:space="preserve">@username</w:t>
      </w:r>
      <w:r>
        <w:t xml:space="preserve"> </w:t>
      </w:r>
      <w:r>
        <w:t xml:space="preserve">via the §11.4.104</w:t>
      </w:r>
      <w:r>
        <w:t xml:space="preserve"> </w:t>
      </w:r>
      <w:r>
        <w:rPr>
          <w:rStyle w:val="VerbatimChar"/>
        </w:rPr>
        <w:t xml:space="preserve">IdentityResolver</w:t>
      </w:r>
      <w:r>
        <w:t xml:space="preserve">. The question MUST be specific (name the candidate intents), never a generic "I didn't understand".</w:t>
      </w:r>
    </w:p>
    <w:p>
      <w:pPr>
        <w:pStyle w:val="BodyText"/>
      </w:pPr>
      <w:r>
        <w:t xml:space="preserve">Two hard rules bind every tier:</w:t>
      </w:r>
    </w:p>
    <w:p>
      <w:pPr>
        <w:pStyle w:val="Compact"/>
        <w:numPr>
          <w:ilvl w:val="0"/>
          <w:numId w:val="1016"/>
        </w:numPr>
      </w:pPr>
      <w:r>
        <w:rPr>
          <w:b/>
          <w:bCs/>
        </w:rPr>
        <w:t xml:space="preserve">Never guess an action.</w:t>
      </w:r>
      <w:r>
        <w:t xml:space="preserve"> </w:t>
      </w:r>
      <w:r>
        <w:t xml:space="preserve">A wrong action is worse than a clarifying question (§11.4.6 no-guessing). The LLM (Tier 2) is instructed — via the envelope/system prompt — to RETURN</w:t>
      </w:r>
      <w:r>
        <w:t xml:space="preserve"> </w:t>
      </w:r>
      <w:r>
        <w:rPr>
          <w:rStyle w:val="VerbatimChar"/>
        </w:rPr>
        <w:t xml:space="preserve">action=clarify</w:t>
      </w:r>
      <w:r>
        <w:t xml:space="preserve"> </w:t>
      </w:r>
      <w:r>
        <w:t xml:space="preserve">with a precise question whenever it cannot determine the intent with confidence, rather than guess.</w:t>
      </w:r>
    </w:p>
    <w:p>
      <w:pPr>
        <w:pStyle w:val="Compact"/>
        <w:numPr>
          <w:ilvl w:val="0"/>
          <w:numId w:val="1016"/>
        </w:numPr>
      </w:pPr>
      <w:r>
        <w:rPr>
          <w:b/>
          <w:bCs/>
        </w:rPr>
        <w:t xml:space="preserve">Never ignore a message.</w:t>
      </w:r>
      <w:r>
        <w:t xml:space="preserve"> </w:t>
      </w:r>
      <w:r>
        <w:t xml:space="preserve">Every inbound message resolves to exactly one action; genuine ambiguity reaches Tier 3 and is always answered, tagged, and threaded back to the sender.</w:t>
      </w:r>
    </w:p>
    <w:bookmarkEnd w:id="47"/>
    <w:bookmarkStart w:id="48" w:name="X4efc14937d81f72121829086258964cd7d52f93"/>
    <w:p>
      <w:pPr>
        <w:pStyle w:val="Heading4"/>
      </w:pPr>
      <w:r>
        <w:t xml:space="preserve">§110.5. Wiring &amp; anti-bluff</w:t>
      </w:r>
    </w:p>
    <w:p>
      <w:pPr>
        <w:pStyle w:val="Compact"/>
        <w:numPr>
          <w:ilvl w:val="0"/>
          <w:numId w:val="1017"/>
        </w:numPr>
      </w:pPr>
      <w:r>
        <w:rPr>
          <w:b/>
          <w:bCs/>
        </w:rPr>
        <w:t xml:space="preserve">Wiring.</w:t>
      </w:r>
      <w:r>
        <w:t xml:space="preserve"> </w:t>
      </w:r>
      <w:r>
        <w:rPr>
          <w:rStyle w:val="VerbatimChar"/>
        </w:rPr>
        <w:t xml:space="preserve">pherald/internal/inbound</w:t>
      </w:r>
      <w:r>
        <w:t xml:space="preserve"> </w:t>
      </w:r>
      <w:r>
        <w:t xml:space="preserve">runs the</w:t>
      </w:r>
      <w:r>
        <w:t xml:space="preserve"> </w:t>
      </w:r>
      <w:r>
        <w:rPr>
          <w:rStyle w:val="VerbatimChar"/>
        </w:rPr>
        <w:t xml:space="preserve">CommandRecognizer</w:t>
      </w:r>
      <w:r>
        <w:t xml:space="preserve"> </w:t>
      </w:r>
      <w:r>
        <w:t xml:space="preserve">(Tier 1) before the Claude Code dispatch (Tier 2); a parsed</w:t>
      </w:r>
      <w:r>
        <w:t xml:space="preserve"> </w:t>
      </w:r>
      <w:r>
        <w:rPr>
          <w:rStyle w:val="VerbatimChar"/>
        </w:rPr>
        <w:t xml:space="preserve">Reply.Action</w:t>
      </w:r>
      <w:r>
        <w:t xml:space="preserve"> </w:t>
      </w:r>
      <w:r>
        <w:t xml:space="preserve">of</w:t>
      </w:r>
      <w:r>
        <w:t xml:space="preserve"> </w:t>
      </w:r>
      <w:r>
        <w:rPr>
          <w:rStyle w:val="VerbatimChar"/>
        </w:rPr>
        <w:t xml:space="preserve">clarify</w:t>
      </w:r>
      <w:r>
        <w:t xml:space="preserve"> </w:t>
      </w:r>
      <w:r>
        <w:t xml:space="preserve">(Tier 3) routes to a</w:t>
      </w:r>
      <w:r>
        <w:t xml:space="preserve"> </w:t>
      </w:r>
      <w:r>
        <w:rPr>
          <w:rStyle w:val="VerbatimChar"/>
        </w:rPr>
        <w:t xml:space="preserve">clarifyHandler</w:t>
      </w:r>
      <w:r>
        <w:t xml:space="preserve"> </w:t>
      </w:r>
      <w:r>
        <w:t xml:space="preserve">that tags the sender and asks.</w:t>
      </w:r>
      <w:r>
        <w:t xml:space="preserve"> </w:t>
      </w:r>
      <w:r>
        <w:rPr>
          <w:rStyle w:val="VerbatimChar"/>
        </w:rPr>
        <w:t xml:space="preserve">commons_messaging/dispatch/claude_code</w:t>
      </w:r>
      <w:r>
        <w:t xml:space="preserve"> </w:t>
      </w:r>
      <w:r>
        <w:t xml:space="preserve">carries the additive envelope instruction (§110.2 Tier 2). The clarify reply reuses the §109 / §11.4.104 participant</w:t>
      </w:r>
      <w:r>
        <w:t xml:space="preserve"> </w:t>
      </w:r>
      <w:r>
        <w:rPr>
          <w:rStyle w:val="VerbatimChar"/>
        </w:rPr>
        <w:t xml:space="preserve">@username</w:t>
      </w:r>
      <w:r>
        <w:t xml:space="preserve"> </w:t>
      </w:r>
      <w:r>
        <w:t xml:space="preserve">resolution.</w:t>
      </w:r>
    </w:p>
    <w:p>
      <w:pPr>
        <w:pStyle w:val="Compact"/>
        <w:numPr>
          <w:ilvl w:val="0"/>
          <w:numId w:val="1017"/>
        </w:numPr>
      </w:pPr>
      <w:r>
        <w:rPr>
          <w:b/>
          <w:bCs/>
        </w:rPr>
        <w:t xml:space="preserve">Anti-bluff (§107 / Helix §11.4).</w:t>
      </w:r>
      <w:r>
        <w:t xml:space="preserve"> </w:t>
      </w:r>
      <w:r>
        <w:t xml:space="preserve">Every tier ships unit + integration + E2E + full-automation tests with real captured evidence under</w:t>
      </w:r>
      <w:r>
        <w:t xml:space="preserve"> </w:t>
      </w:r>
      <w:r>
        <w:rPr>
          <w:rStyle w:val="VerbatimChar"/>
        </w:rPr>
        <w:t xml:space="preserve">docs/qa/&lt;run-id&gt;/</w:t>
      </w:r>
      <w:r>
        <w:t xml:space="preserve">: a Tier-1 truth-table of natural-language messages → expected action+fields (and the conservative negatives that MUST fall through to "no match"); a Tier-3 E2E where an ambiguous message drives a real dispatch whose recording-sink reply body is EXACTLY</w:t>
      </w:r>
      <w:r>
        <w:t xml:space="preserve"> </w:t>
      </w:r>
      <w:r>
        <w:rPr>
          <w:rStyle w:val="VerbatimChar"/>
        </w:rPr>
        <w:t xml:space="preserve">@&lt;sender&gt; &lt;specific question&gt;</w:t>
      </w:r>
      <w:r>
        <w:t xml:space="preserve"> </w:t>
      </w:r>
      <w:r>
        <w:t xml:space="preserve">(proving the user is tagged + asked, not ignored) plus a NEGATIVE proving a clear command does NOT trigger clarify; a paired §1.1 mutation gate (break the recognizer's confidence guard so it false-matches, OR drop the clarify tag) that MUST FAIL.</w:t>
      </w:r>
    </w:p>
    <w:p>
      <w:pPr>
        <w:pStyle w:val="FirstParagraph"/>
      </w:pPr>
      <w:r>
        <w:rPr>
          <w:b/>
          <w:bCs/>
        </w:rPr>
        <w:t xml:space="preserve">Non-compliance is a release blocker.</w:t>
      </w:r>
      <w:r>
        <w:t xml:space="preserve"> </w:t>
      </w:r>
      <w:r>
        <w:t xml:space="preserve">Documenting intent-resolution behaviour without the captured evidence above is itself a §107 PASS-bluff. No</w:t>
      </w:r>
      <w:r>
        <w:t xml:space="preserve"> </w:t>
      </w:r>
      <w:r>
        <w:rPr>
          <w:rStyle w:val="VerbatimChar"/>
        </w:rPr>
        <w:t xml:space="preserve">--skip-intent</w:t>
      </w:r>
      <w:r>
        <w:t xml:space="preserve">,</w:t>
      </w:r>
      <w:r>
        <w:t xml:space="preserve"> </w:t>
      </w:r>
      <w:r>
        <w:rPr>
          <w:rStyle w:val="VerbatimChar"/>
        </w:rPr>
        <w:t xml:space="preserve">--guess-OK</w:t>
      </w:r>
      <w:r>
        <w:t xml:space="preserve">,</w:t>
      </w:r>
      <w:r>
        <w:t xml:space="preserve"> </w:t>
      </w:r>
      <w:r>
        <w:rPr>
          <w:rStyle w:val="VerbatimChar"/>
        </w:rPr>
        <w:t xml:space="preserve">--clarify-later</w:t>
      </w:r>
      <w:r>
        <w:t xml:space="preserve"> </w:t>
      </w:r>
      <w:r>
        <w:t xml:space="preserve">flag exists.</w:t>
      </w:r>
    </w:p>
    <w:p>
      <w:r>
        <w:pict>
          <v:rect style="width:0;height:1.5pt" o:hralign="center" o:hrstd="t" o:hr="t"/>
        </w:pict>
      </w:r>
    </w:p>
    <w:bookmarkEnd w:id="48"/>
    <w:bookmarkEnd w:id="49"/>
    <w:bookmarkEnd w:id="50"/>
    <w:bookmarkStart w:id="51"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51"/>
    <w:bookmarkStart w:id="52"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52"/>
    <w:bookmarkStart w:id="53"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53"/>
    <w:bookmarkStart w:id="54" w:name="notes"/>
    <w:p>
      <w:pPr>
        <w:pStyle w:val="Heading2"/>
      </w:pPr>
      <w:r>
        <w:t xml:space="preserve">Notes</w:t>
      </w:r>
    </w:p>
    <w:p>
      <w:pPr>
        <w:pStyle w:val="FirstParagraph"/>
      </w:pPr>
      <w:r>
        <w:t xml:space="preserve">Herald's spec is now in V3 (</w:t>
      </w:r>
      <w:r>
        <w:rPr>
          <w:rStyle w:val="VerbatimChar"/>
        </w:rPr>
        <w:t xml:space="preserve">docs/specs/mvp/specification.V3.md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43"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2026-05-31T06:53:15Z</dcterms:created>
  <dcterms:modified xsi:type="dcterms:W3CDTF">2026-05-31T06:53:15Z</dcterms:modified>
</cp:coreProperties>
</file>

<file path=docProps/custom.xml><?xml version="1.0" encoding="utf-8"?>
<Properties xmlns="http://schemas.openxmlformats.org/officeDocument/2006/custom-properties" xmlns:vt="http://schemas.openxmlformats.org/officeDocument/2006/docPropsVTypes"/>
</file>