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AGENTS.md</w:t>
      </w:r>
    </w:p>
    <w:bookmarkStart w:id="18" w:name="herald--agentsmd"/>
    <w:p>
      <w:pPr>
        <w:pStyle w:val="Heading1"/>
      </w:pPr>
      <w:r>
        <w:t xml:space="preserve">Herald — AGENTS.md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"Project status" updated: Go scaffold landed; build+test commands documented; open HRD list embedded for agent reference.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R-14 (V2), V3-path-sync (V3 r3), Go-scaffold-status-update (V3 r4)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with HRD-009/HRD-009b/HRD-013/HRD-014 landing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again when first-implementation cycle completes HRD-010..HRD-012/HRD-016 live integrations.</w:t>
            </w:r>
          </w:p>
        </w:tc>
      </w:tr>
    </w:tbl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14c43cc6d331314c20bd0a345b7e6e453dede">
        <w:r>
          <w:rPr>
            <w:rStyle w:val="Hyperlink"/>
          </w:rPr>
          <w:t xml:space="preserve">Critical base rules restated (for agents that don't follow @imports)</w:t>
        </w:r>
      </w:hyperlink>
    </w:p>
    <w:p>
      <w:pPr>
        <w:pStyle w:val="Compact"/>
        <w:numPr>
          <w:ilvl w:val="0"/>
          <w:numId w:val="1001"/>
        </w:numPr>
      </w:pPr>
      <w:hyperlink w:anchor="herald-specific-agent-rules">
        <w:r>
          <w:rPr>
            <w:rStyle w:val="Hyperlink"/>
          </w:rPr>
          <w:t xml:space="preserve">Herald-specific agent rules</w:t>
        </w:r>
      </w:hyperlink>
    </w:p>
    <w:p>
      <w:pPr>
        <w:pStyle w:val="Compact"/>
        <w:numPr>
          <w:ilvl w:val="1"/>
          <w:numId w:val="1002"/>
        </w:numPr>
      </w:pPr>
      <w:hyperlink w:anchor="X077989ae97727b76393218e4e18e3b89e5291bc">
        <w:r>
          <w:rPr>
            <w:rStyle w:val="Hyperlink"/>
          </w:rPr>
          <w:t xml:space="preserve">Project status (load-bearing for every task)</w:t>
        </w:r>
      </w:hyperlink>
    </w:p>
    <w:p>
      <w:pPr>
        <w:pStyle w:val="Compact"/>
        <w:numPr>
          <w:ilvl w:val="1"/>
          <w:numId w:val="1002"/>
        </w:numPr>
      </w:pPr>
      <w:hyperlink w:anchor="X494e63fc2991a9d42fefb419b530ac9bef94c53">
        <w:r>
          <w:rPr>
            <w:rStyle w:val="Hyperlink"/>
          </w:rPr>
          <w:t xml:space="preserve">Inheritance gate (run before any commit that touches root docs 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constitution/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X0e80c95edc12dabb7455ed08d287a6e60ce05a5">
        <w:r>
          <w:rPr>
            <w:rStyle w:val="Hyperlink"/>
          </w:rPr>
          <w:t xml:space="preserve">Spec-change rule (load-bearing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docs/specs/mvp/specification.V3.md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§"Specification documents")</w:t>
        </w:r>
      </w:hyperlink>
    </w:p>
    <w:p>
      <w:pPr>
        <w:pStyle w:val="Compact"/>
        <w:numPr>
          <w:ilvl w:val="1"/>
          <w:numId w:val="1002"/>
        </w:numPr>
      </w:pPr>
      <w:hyperlink w:anchor="X6198677d4a246aad02e8f663e73cd694bf6928c">
        <w:r>
          <w:rPr>
            <w:rStyle w:val="Hyperlink"/>
          </w:rPr>
          <w:t xml:space="preserve">Multi-host mirror convention (Herald's own upstreams)</w:t>
        </w:r>
      </w:hyperlink>
    </w:p>
    <w:p>
      <w:pPr>
        <w:pStyle w:val="Compact"/>
        <w:numPr>
          <w:ilvl w:val="1"/>
          <w:numId w:val="1002"/>
        </w:numPr>
      </w:pPr>
      <w:hyperlink w:anchor="forbidden-in-this-project">
        <w:r>
          <w:rPr>
            <w:rStyle w:val="Hyperlink"/>
          </w:rPr>
          <w:t xml:space="preserve">Forbidden in this project</w:t>
        </w:r>
      </w:hyperlink>
    </w:p>
    <w:p>
      <w:pPr>
        <w:pStyle w:val="BlockText"/>
      </w:pPr>
      <w:r>
        <w:t xml:space="preserve">Base agent rules: the Helix Constitution's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provided by the</w:t>
      </w:r>
      <w:r>
        <w:t xml:space="preserve"> </w:t>
      </w:r>
      <w:r>
        <w:rPr>
          <w:b/>
          <w:bCs/>
        </w:rPr>
        <w:t xml:space="preserve">parent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(Herald does not carry its own copy).</w:t>
      </w:r>
      <w:r>
        <w:t xml:space="preserve"> </w:t>
      </w:r>
      <w:r>
        <w:rPr>
          <w:b/>
          <w:bCs/>
        </w:rPr>
        <w:t xml:space="preserve">READ IT FIRST.</w:t>
      </w:r>
    </w:p>
    <w:p>
      <w:pPr>
        <w:pStyle w:val="BlockText"/>
      </w:pPr>
      <w:r>
        <w:t xml:space="preserve">Discover the constitution by walking up parent directories until you find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, or by invoking the canonical helper</w:t>
      </w:r>
      <w:r>
        <w:t xml:space="preserve"> </w:t>
      </w:r>
      <w:r>
        <w:rPr>
          <w:rStyle w:val="VerbatimChar"/>
        </w:rPr>
        <w:t xml:space="preserve">&lt;discovered&gt;/find_constitution.sh</w:t>
      </w:r>
      <w:r>
        <w:t xml:space="preserve">. For standalone Herald work, clone the constitution alongside Herald: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BlockText"/>
      </w:pPr>
      <w:r>
        <w:t xml:space="preserve">The base file is authoritative for any topic not covered here. Herald-specific rules below extend them; they never weaken them.</w:t>
      </w:r>
    </w:p>
    <w:p>
      <w:pPr>
        <w:pStyle w:val="BlockText"/>
      </w:pPr>
      <w:r>
        <w:t xml:space="preserve">Canonical: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3414c43cc6d331314c20bd0a345b7e6e453dede"/>
    <w:p>
      <w:pPr>
        <w:pStyle w:val="Heading2"/>
      </w:pPr>
      <w:r>
        <w:t xml:space="preserve">Critical base rules restated (for agents that don't follow @imports)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bluffing.</w:t>
      </w:r>
      <w:r>
        <w:t xml:space="preserve"> </w:t>
      </w:r>
      <w:r>
        <w:t xml:space="preserve">Every PASS carries positive evidence. Constitution §11.4 / §1.1.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Mutation-paired gates.</w:t>
      </w:r>
      <w:r>
        <w:t xml:space="preserve"> </w:t>
      </w:r>
      <w:r>
        <w:t xml:space="preserve">Every new gate has a paired mutation proving it catches regressions. Constitution §1.1.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) when reporting causes. Constitution §11.4.6.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Credentials never tracked.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git-ignored; runtime-load only. Constitution §11.4.10.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Never force-push.</w:t>
      </w:r>
      <w:r>
        <w:t xml:space="preserve"> </w:t>
      </w:r>
      <w:r>
        <w:t xml:space="preserve">Requires explicit per-session authorization.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Hardlinked backup before any destructive op.</w:t>
      </w:r>
      <w:r>
        <w:t xml:space="preserve"> </w:t>
      </w:r>
      <w:r>
        <w:t xml:space="preserve">Constitution §9.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60% RAM cap on heavy work.</w:t>
      </w:r>
      <w:r>
        <w:t xml:space="preserve"> </w:t>
      </w:r>
      <w:r>
        <w:t xml:space="preserve">Constitution §12.6.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Multi-upstream push.</w:t>
      </w:r>
      <w:r>
        <w:t xml:space="preserve"> </w:t>
      </w:r>
      <w:r>
        <w:t xml:space="preserve">Every commit fans out to all 4 hosts (GitHub + GitLab + GitFlic + GitVerse). Constitution §2.1.</w:t>
      </w:r>
    </w:p>
    <w:bookmarkEnd w:id="11"/>
    <w:bookmarkStart w:id="17" w:name="herald-specific-agent-rules"/>
    <w:p>
      <w:pPr>
        <w:pStyle w:val="Heading2"/>
      </w:pPr>
      <w:r>
        <w:t xml:space="preserve">Herald-specific agent rules</w:t>
      </w:r>
    </w:p>
    <w:bookmarkStart w:id="12" w:name="X077989ae97727b76393218e4e18e3b89e5291bc"/>
    <w:p>
      <w:pPr>
        <w:pStyle w:val="Heading3"/>
      </w:pPr>
      <w:r>
        <w:t xml:space="preserve">Project status (load-bearing for every task)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As of 2026-05-15 the repo contains: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mission, deployment model, constitution-inheritance contract, how to run.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MVP spec (section headings only; substantive content TBD).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project-specific constitutional extensions.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operator/agent guide for the parent-discovery contract + the gate.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— Herald's own mirror declarations (lowercase, §11.4.29-compliant).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inheritance gate (read-only assertions).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tests/test_constitution_inheritance_meta.sh</w:t>
      </w:r>
      <w:r>
        <w:t xml:space="preserve"> </w:t>
      </w:r>
      <w:r>
        <w:t xml:space="preserve">— paired mutation meta-test (§1.1).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(also ignores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).</w:t>
      </w:r>
    </w:p>
    <w:p>
      <w:pPr>
        <w:pStyle w:val="FirstParagraph"/>
      </w:pPr>
      <w:r>
        <w:t xml:space="preserve">Herald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ship a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of its own — see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for the rationale and the discovery mechanism.</w:t>
      </w:r>
    </w:p>
    <w:p>
      <w:pPr>
        <w:pStyle w:val="BodyText"/>
      </w:pPr>
      <w:r>
        <w:rPr>
          <w:b/>
          <w:bCs/>
        </w:rPr>
        <w:t xml:space="preserve">As of 2026-05-20</w:t>
      </w:r>
      <w:r>
        <w:t xml:space="preserve"> </w:t>
      </w:r>
      <w:r>
        <w:t xml:space="preserve">the Go scaffold landed (first-implementation cycle r1). 5 Go modules (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) compile + unit tests pass.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build info. The full §11.0 type contract is realized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sandbox adapter is fully working with 8 unit tests. SQL migrations 000001..000005 embedded via</w:t>
      </w:r>
      <w:r>
        <w:t xml:space="preserve"> </w:t>
      </w:r>
      <w:r>
        <w:rPr>
          <w:rStyle w:val="VerbatimChar"/>
        </w:rPr>
        <w:t xml:space="preserve">//go:embed</w:t>
      </w:r>
      <w:r>
        <w:t xml:space="preserve">. Docker/Podman Compose for §26.5 Quickstart shipped under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 </w:t>
      </w:r>
      <w:r>
        <w:t xml:space="preserve">(migrated from</w:t>
      </w:r>
      <w:r>
        <w:t xml:space="preserve"> </w:t>
      </w: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landed). On-demand container orchestration is provided by the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digital.vasic.containers</w:t>
      </w:r>
      <w:r>
        <w:t xml:space="preserve">).</w:t>
      </w:r>
    </w:p>
    <w:p>
      <w:pPr>
        <w:pStyle w:val="BodyText"/>
      </w:pPr>
      <w:r>
        <w:t xml:space="preserve">Build + test from repo root:</w:t>
      </w:r>
    </w:p>
    <w:p>
      <w:pPr>
        <w:pStyle w:val="SourceCode"/>
      </w:pPr>
      <w:r>
        <w:rPr>
          <w:rStyle w:val="VerbatimChar"/>
        </w:rPr>
        <w:t xml:space="preserve">go test ./commons/... ./commons_prefix/... ./commons_messaging/... ./commons_storage/...</w:t>
      </w:r>
      <w:r>
        <w:br/>
      </w:r>
      <w:r>
        <w:rPr>
          <w:rStyle w:val="VerbatimChar"/>
        </w:rPr>
        <w:t xml:space="preserve">go build -o /tmp/pherald-dev ./pherald/cmd/pherald</w:t>
      </w:r>
    </w:p>
    <w:p>
      <w:pPr>
        <w:pStyle w:val="FirstParagraph"/>
      </w:pPr>
      <w:r>
        <w:t xml:space="preserve">What's NOT yet live (per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HRD-008 operator-side Quickstart compose validation.</w:t>
      </w:r>
    </w:p>
    <w:p>
      <w:pPr>
        <w:pStyle w:val="Compact"/>
        <w:numPr>
          <w:ilvl w:val="0"/>
          <w:numId w:val="1005"/>
        </w:numPr>
      </w:pPr>
      <w:r>
        <w:t xml:space="preserve">HRD-010 commons_storage live (pgx + River + Redis).</w:t>
      </w:r>
    </w:p>
    <w:p>
      <w:pPr>
        <w:pStyle w:val="Compact"/>
        <w:numPr>
          <w:ilvl w:val="0"/>
          <w:numId w:val="1005"/>
        </w:numPr>
      </w:pPr>
      <w:r>
        <w:t xml:space="preserve">HRD-011 Telegram adapter live (telebot + getUpdates).</w:t>
      </w:r>
    </w:p>
    <w:p>
      <w:pPr>
        <w:pStyle w:val="Compact"/>
        <w:numPr>
          <w:ilvl w:val="0"/>
          <w:numId w:val="1005"/>
        </w:numPr>
      </w:pPr>
      <w:r>
        <w:t xml:space="preserve">HRD-012 Claude Code dispatcher live (</w:t>
      </w:r>
      <w:r>
        <w:rPr>
          <w:rStyle w:val="VerbatimChar"/>
        </w:rPr>
        <w:t xml:space="preserve">claude --resume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HRD-016 REST API per §41 (Gin Gonic).</w:t>
      </w:r>
    </w:p>
    <w:p>
      <w:pPr>
        <w:pStyle w:val="FirstParagraph"/>
      </w:pPr>
      <w:r>
        <w:t xml:space="preserve">When asked to "add a feature": find the spec section, open / claim the relevant HRD-NNN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 write Go + tests, ensure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passes, close the HRD-NNN by migrating its row to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(per Universal §11.4.19 atomic-migration mandate).</w:t>
      </w:r>
    </w:p>
    <w:p>
      <w:pPr>
        <w:pStyle w:val="BodyText"/>
      </w:pPr>
      <w:r>
        <w:t xml:space="preserve">Never invent build / test commands beyond</w:t>
      </w:r>
      <w:r>
        <w:t xml:space="preserve"> </w:t>
      </w:r>
      <w:r>
        <w:rPr>
          <w:rStyle w:val="VerbatimChar"/>
        </w:rPr>
        <w:t xml:space="preserve">go test ./&lt;module&gt;/...</w:t>
      </w:r>
      <w:r>
        <w:t xml:space="preserve">. Live-integration tests require operator-supplied bot tokens / Claude sessions / Postgres —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carries the handoff prompt.</w:t>
      </w:r>
    </w:p>
    <w:bookmarkEnd w:id="12"/>
    <w:bookmarkStart w:id="13" w:name="X494e63fc2991a9d42fefb419b530ac9bef94c53"/>
    <w:p>
      <w:pPr>
        <w:pStyle w:val="Heading3"/>
      </w:pPr>
      <w:r>
        <w:t xml:space="preserve">Inheritance gate (run before any commit that touches root docs or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the gate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mutation proof (§1.1)</w:t>
      </w:r>
    </w:p>
    <w:p>
      <w:pPr>
        <w:pStyle w:val="FirstParagraph"/>
      </w:pPr>
      <w:r>
        <w:t xml:space="preserve">Both MUST return 0. If either fails, fix at root cause per Constitution §11.4.4 — never silently accept the FAIL.</w:t>
      </w:r>
    </w:p>
    <w:bookmarkEnd w:id="13"/>
    <w:bookmarkStart w:id="14" w:name="X32120c2cbf4d615e5864fa1300f097d3beccf79"/>
    <w:p>
      <w:pPr>
        <w:pStyle w:val="Heading3"/>
      </w:pPr>
      <w:r>
        <w:t xml:space="preserve">Spec-change rule (load-bearing —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§"Specification documents")</w:t>
      </w:r>
    </w:p>
    <w:p>
      <w:pPr>
        <w:pStyle w:val="FirstParagraph"/>
      </w:pPr>
      <w:r>
        <w:t xml:space="preserve">Whenever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or any file under</w:t>
      </w:r>
      <w:r>
        <w:t xml:space="preserve"> </w:t>
      </w:r>
      <w:r>
        <w:rPr>
          <w:rStyle w:val="VerbatimChar"/>
        </w:rPr>
        <w:t xml:space="preserve">docs/specs/</w:t>
      </w:r>
      <w:r>
        <w:t xml:space="preserve"> </w:t>
      </w:r>
      <w:r>
        <w:t xml:space="preserve">(any depth) is modified,</w:t>
      </w:r>
      <w:r>
        <w:t xml:space="preserve"> </w:t>
      </w:r>
      <w:r>
        <w:rPr>
          <w:b/>
          <w:bCs/>
        </w:rPr>
        <w:t xml:space="preserve">comprehensive planning and implementation of all changes is MANDATORY</w:t>
      </w:r>
      <w:r>
        <w:t xml:space="preserve"> </w:t>
      </w:r>
      <w:r>
        <w:t xml:space="preserve">— agents may not edit the spec in isolation. This rule does NOT apply to creating or renaming files; for those, ask the operator what to do with the new path. Treat every spec edit as a project-wide ripple, not a doc tweak.</w:t>
      </w:r>
    </w:p>
    <w:p>
      <w:pPr>
        <w:pStyle w:val="BodyText"/>
      </w:pPr>
      <w:r>
        <w:t xml:space="preserve">This rule is mirrored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§106. The inheritance gate's invariant</w:t>
      </w:r>
      <w:r>
        <w:t xml:space="preserve"> </w:t>
      </w:r>
      <w:r>
        <w:rPr>
          <w:b/>
          <w:bCs/>
        </w:rPr>
        <w:t xml:space="preserve">I7a–c</w:t>
      </w:r>
      <w:r>
        <w:t xml:space="preserve"> </w:t>
      </w:r>
      <w:r>
        <w:t xml:space="preserve">asserts the rule anchor (</w:t>
      </w:r>
      <w:r>
        <w:rPr>
          <w:rStyle w:val="VerbatimChar"/>
        </w:rPr>
        <w:t xml:space="preserve">comprehensive planning and implementation</w:t>
      </w:r>
      <w:r>
        <w:t xml:space="preserve">) is present in all three files; a missing copy is a §1.1 propagation bluff and the gate FAILs.</w:t>
      </w:r>
    </w:p>
    <w:bookmarkEnd w:id="14"/>
    <w:bookmarkStart w:id="15" w:name="X6198677d4a246aad02e8f663e73cd694bf6928c"/>
    <w:p>
      <w:pPr>
        <w:pStyle w:val="Heading3"/>
      </w:pPr>
      <w:r>
        <w:t xml:space="preserve">Multi-host mirror convention (Herald's own upstreams)</w:t>
      </w:r>
    </w:p>
    <w:p>
      <w:pPr>
        <w:pStyle w:val="FirstParagraph"/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contains one script per mirror host (GitHub, GitLab, GitFlic, GitVerse). Each script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 </w:t>
      </w:r>
      <w:r>
        <w:t xml:space="preserve">and is sourced, not executed. The Herald repo's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 already fan-out (1 fetch URL + 4 push URLs) — a single</w:t>
      </w:r>
      <w:r>
        <w:t xml:space="preserve"> </w:t>
      </w:r>
      <w:r>
        <w:rPr>
          <w:rStyle w:val="VerbatimChar"/>
        </w:rPr>
        <w:t xml:space="preserve">git push origin &lt;branch&gt;</w:t>
      </w:r>
      <w:r>
        <w:t xml:space="preserve"> </w:t>
      </w:r>
      <w:r>
        <w:t xml:space="preserve">propagates to all four hosts. Per-host naming intentionally matches each provider's brand capitalization; do not normalize.</w:t>
      </w:r>
    </w:p>
    <w:bookmarkEnd w:id="15"/>
    <w:bookmarkStart w:id="16" w:name="forbidden-in-this-project"/>
    <w:p>
      <w:pPr>
        <w:pStyle w:val="Heading3"/>
      </w:pPr>
      <w:r>
        <w:t xml:space="preserve">Forbidden in this project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Re-adding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inside Herald.</w:t>
      </w:r>
      <w:r>
        <w:t xml:space="preserve"> </w:t>
      </w:r>
      <w:r>
        <w:t xml:space="preserve">Herald is consumed as a submodule of a parent project that already provides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. A duplicate copy inside Herald is a deployment-model violation. The inheritance gate's invariant</w:t>
      </w:r>
      <w:r>
        <w:t xml:space="preserve"> </w:t>
      </w:r>
      <w:r>
        <w:rPr>
          <w:rStyle w:val="VerbatimChar"/>
        </w:rPr>
        <w:t xml:space="preserve">I6</w:t>
      </w:r>
      <w:r>
        <w:t xml:space="preserve"> </w:t>
      </w:r>
      <w:r>
        <w:t xml:space="preserve">enforces this — re-adding it will turn the gate red.</w:t>
      </w:r>
    </w:p>
    <w:p>
      <w:pPr>
        <w:pStyle w:val="Compact"/>
        <w:numPr>
          <w:ilvl w:val="0"/>
          <w:numId w:val="1006"/>
        </w:numPr>
      </w:pPr>
      <w:r>
        <w:t xml:space="preserve">Promoting Herald-specific values into the parent constitution (universal status must be EARNED; see Constitution §11.4 + §11.4.10).</w:t>
      </w:r>
    </w:p>
    <w:p>
      <w:pPr>
        <w:pStyle w:val="Compact"/>
        <w:numPr>
          <w:ilvl w:val="0"/>
          <w:numId w:val="1006"/>
        </w:numPr>
      </w:pPr>
      <w:r>
        <w:t xml:space="preserve">Modifying any file under the discovered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 Herald commits — the parent's constitution is read-only from Herald's perspective. Constitution changes go through the HelixConstitution repo directly.</w:t>
      </w:r>
    </w:p>
    <w:p>
      <w:pPr>
        <w:pStyle w:val="Compact"/>
        <w:numPr>
          <w:ilvl w:val="0"/>
          <w:numId w:val="1006"/>
        </w:numPr>
      </w:pPr>
      <w:r>
        <w:t xml:space="preserve">Adding new submodules without re-running</w:t>
      </w:r>
      <w:r>
        <w:t xml:space="preserve"> </w:t>
      </w:r>
      <w:r>
        <w:rPr>
          <w:rStyle w:val="VerbatimChar"/>
        </w:rPr>
        <w:t xml:space="preserve">bash tests/test_constitution_inheritance.sh</w:t>
      </w:r>
      <w:r>
        <w:t xml:space="preserve"> </w:t>
      </w:r>
      <w:r>
        <w:t xml:space="preserve">afterward.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AGENTS.md</dc:title>
  <dc:creator/>
  <cp:keywords/>
  <dcterms:created xsi:type="dcterms:W3CDTF">2026-05-20T12:34:10Z</dcterms:created>
  <dcterms:modified xsi:type="dcterms:W3CDTF">2026-05-20T12:34:10Z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