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CLAUDE.md</w:t>
      </w:r>
    </w:p>
    <w:bookmarkStart w:id="22" w:name="claudemd"/>
    <w:p>
      <w:pPr>
        <w:pStyle w:val="Heading1"/>
      </w:pPr>
      <w:r>
        <w:t xml:space="preserve">CLAUDE.md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"Project status" section updated to reflect that the Go scaffold (5 modules, passing unit tests, Quickstart compose) has landed. New commands documented (go build/test). The pre-implementation language replaced with implementation-r1 reality.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(r2), pre-implementation-language update (r3)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with HRD-009/HRD-009b/HRD-013/HRD-014 landing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again when first-implementation cycle completes HRD-010..HRD-012/HRD-016 live integrations.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9ca5eb866ac9da45bc7b855edaa030da827c63">
        <w:r>
          <w:rPr>
            <w:rStyle w:val="Hyperlink"/>
          </w:rPr>
          <w:t xml:space="preserve">INHERITED FROM Helix Constitution (parent-discovery)</w:t>
        </w:r>
      </w:hyperlink>
    </w:p>
    <w:p>
      <w:pPr>
        <w:pStyle w:val="Compact"/>
        <w:numPr>
          <w:ilvl w:val="0"/>
          <w:numId w:val="1001"/>
        </w:numPr>
      </w:pPr>
      <w:hyperlink w:anchor="project-status">
        <w:r>
          <w:rPr>
            <w:rStyle w:val="Hyperlink"/>
          </w:rPr>
          <w:t xml:space="preserve">Project status</w:t>
        </w:r>
      </w:hyperlink>
    </w:p>
    <w:p>
      <w:pPr>
        <w:pStyle w:val="Compact"/>
        <w:numPr>
          <w:ilvl w:val="0"/>
          <w:numId w:val="1001"/>
        </w:numPr>
      </w:pPr>
      <w:hyperlink w:anchor="mission-from-the-spec">
        <w:r>
          <w:rPr>
            <w:rStyle w:val="Hyperlink"/>
          </w:rPr>
          <w:t xml:space="preserve">Mission (from the spec)</w:t>
        </w:r>
      </w:hyperlink>
    </w:p>
    <w:p>
      <w:pPr>
        <w:pStyle w:val="Compact"/>
        <w:numPr>
          <w:ilvl w:val="0"/>
          <w:numId w:val="1001"/>
        </w:numPr>
      </w:pPr>
      <w:hyperlink w:anchor="intended-stack">
        <w:r>
          <w:rPr>
            <w:rStyle w:val="Hyperlink"/>
          </w:rPr>
          <w:t xml:space="preserve">Intended stack</w:t>
        </w:r>
      </w:hyperlink>
    </w:p>
    <w:p>
      <w:pPr>
        <w:pStyle w:val="Compact"/>
        <w:numPr>
          <w:ilvl w:val="0"/>
          <w:numId w:val="1001"/>
        </w:numPr>
      </w:pPr>
      <w:hyperlink w:anchor="multi-host-mirror-convention">
        <w:r>
          <w:rPr>
            <w:rStyle w:val="Hyperlink"/>
          </w:rPr>
          <w:t xml:space="preserve">Multi-host mirror convention</w:t>
        </w:r>
      </w:hyperlink>
    </w:p>
    <w:p>
      <w:pPr>
        <w:pStyle w:val="Compact"/>
        <w:numPr>
          <w:ilvl w:val="0"/>
          <w:numId w:val="1001"/>
        </w:numPr>
      </w:pPr>
      <w:hyperlink w:anchor="X81ca6bc650b2a73abee076663d5efd898631acb">
        <w:r>
          <w:rPr>
            <w:rStyle w:val="Hyperlink"/>
          </w:rPr>
          <w:t xml:space="preserve">Inheritance gate (run before any commit touching root docs)</w:t>
        </w:r>
      </w:hyperlink>
    </w:p>
    <w:p>
      <w:pPr>
        <w:pStyle w:val="Compact"/>
        <w:numPr>
          <w:ilvl w:val="0"/>
          <w:numId w:val="1001"/>
        </w:numPr>
      </w:pPr>
      <w:hyperlink w:anchor="X0e80c95edc12dabb7455ed08d287a6e60ce05a5">
        <w:r>
          <w:rPr>
            <w:rStyle w:val="Hyperlink"/>
          </w:rPr>
          <w:t xml:space="preserve">Spec-change rule (load-bearing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docs/specs/mvp/specification.V3.md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§"Specification documents")</w:t>
        </w:r>
      </w:hyperlink>
    </w:p>
    <w:p>
      <w:pPr>
        <w:pStyle w:val="Compact"/>
        <w:numPr>
          <w:ilvl w:val="0"/>
          <w:numId w:val="1001"/>
        </w:numPr>
      </w:pPr>
      <w:hyperlink w:anchor="X9a65c2c879d82c2edb3d79b214e6ac5cac77ed9">
        <w:r>
          <w:rPr>
            <w:rStyle w:val="Hyperlink"/>
          </w:rPr>
          <w:t xml:space="preserve">Project conventions from the spec (apply when scaffolding)</w:t>
        </w:r>
      </w:hyperlink>
    </w:p>
    <w:p>
      <w:pPr>
        <w:pStyle w:val="Compact"/>
        <w:numPr>
          <w:ilvl w:val="0"/>
          <w:numId w:val="1001"/>
        </w:numPr>
      </w:pPr>
      <w:hyperlink w:anchor="X9633c229000ce516a1919fd07cb27a4f52cfbed">
        <w:r>
          <w:rPr>
            <w:rStyle w:val="VerbatimChar"/>
          </w:rPr>
          <w:t xml:space="preserve">constitutable/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directory (parent-project extension hook)</w:t>
        </w:r>
      </w:hyperlink>
    </w:p>
    <w:p>
      <w:pPr>
        <w:pStyle w:val="Compact"/>
        <w:numPr>
          <w:ilvl w:val="0"/>
          <w:numId w:val="1001"/>
        </w:numPr>
      </w:pPr>
      <w:hyperlink w:anchor="documentation-artefacts-pdfhtml-siblings">
        <w:r>
          <w:rPr>
            <w:rStyle w:val="Hyperlink"/>
          </w:rPr>
          <w:t xml:space="preserve">Documentation artefacts (PDF/HTML siblings)</w:t>
        </w:r>
      </w:hyperlink>
    </w:p>
    <w:p>
      <w:pPr>
        <w:pStyle w:val="Compact"/>
        <w:numPr>
          <w:ilvl w:val="0"/>
          <w:numId w:val="1001"/>
        </w:numPr>
      </w:pPr>
      <w:hyperlink w:anchor="notes-for-future-scaffolding">
        <w:r>
          <w:rPr>
            <w:rStyle w:val="Hyperlink"/>
          </w:rPr>
          <w:t xml:space="preserve">Notes for future scaffolding</w:t>
        </w:r>
      </w:hyperlink>
    </w:p>
    <w:p>
      <w:pPr>
        <w:pStyle w:val="FirstParagraph"/>
      </w:pPr>
      <w:r>
        <w:t xml:space="preserve">This file provides guidance to Claude Code (claude.ai/code) when working with code in this repository.</w:t>
      </w:r>
    </w:p>
    <w:bookmarkEnd w:id="9"/>
    <w:bookmarkStart w:id="11" w:name="X79ca5eb866ac9da45bc7b855edaa030da827c63"/>
    <w:p>
      <w:pPr>
        <w:pStyle w:val="Heading2"/>
      </w:pPr>
      <w:r>
        <w:t xml:space="preserve">INHERITED FROM Helix Constitution (parent-discovery)</w:t>
      </w:r>
    </w:p>
    <w:p>
      <w:pPr>
        <w:pStyle w:val="FirstParagraph"/>
      </w:pPr>
      <w:r>
        <w:t xml:space="preserve">Herald is consumed as a submodule of a parent project that already carries the Helix Constitution submodule at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 Herald therefore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keep its own copy. Locate the constitution from any nested depth by walking up parents until you find</w:t>
      </w:r>
      <w:r>
        <w:t xml:space="preserve"> </w:t>
      </w:r>
      <w:r>
        <w:rPr>
          <w:rStyle w:val="VerbatimChar"/>
        </w:rPr>
        <w:t xml:space="preserve">&lt;ancestor&gt;/constitution/Constitution.md</w:t>
      </w:r>
      <w:r>
        <w:t xml:space="preserve">, or by running the canonical helper:</w:t>
      </w:r>
    </w:p>
    <w:p>
      <w:pPr>
        <w:pStyle w:val="SourceCode"/>
      </w:pPr>
      <w:r>
        <w:rPr>
          <w:rStyle w:val="VariableTok"/>
        </w:rPr>
        <w:t xml:space="preserve">CONST_DIR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constitution </w:t>
      </w:r>
      <w:r>
        <w:rPr>
          <w:rStyle w:val="AttributeTok"/>
        </w:rPr>
        <w:t xml:space="preserve">-print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-quit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/find_constitution.sh"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or, more robustly, from any starting directory:</w:t>
      </w:r>
      <w:r>
        <w:br/>
      </w:r>
      <w:r>
        <w:rPr>
          <w:rStyle w:val="VariableTok"/>
        </w:rPr>
        <w:t xml:space="preserve">CONST_DIR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ancestor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/constitution/find_constitution.sh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For standalone development of Herald (no parent project), clone the constitution alongside Herald: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Once located, all rules in</w:t>
      </w:r>
      <w:r>
        <w:t xml:space="preserve"> </w:t>
      </w:r>
      <w:r>
        <w:rPr>
          <w:rStyle w:val="VerbatimChar"/>
        </w:rPr>
        <w:t xml:space="preserve">&lt;discovered&gt;/CLAUDE.md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&lt;discovered&gt;/Constitution.md</w:t>
      </w:r>
      <w:r>
        <w:t xml:space="preserve"> </w:t>
      </w:r>
      <w:r>
        <w:t xml:space="preserve">it references apply unconditionally. Herald-specific rules below extend them — they MUST NOT weaken any inherited rule. When this file disagrees with the discovered constitution, the constitution wins.</w:t>
      </w:r>
    </w:p>
    <w:p>
      <w:pPr>
        <w:pStyle w:val="BodyText"/>
      </w:pPr>
      <w:r>
        <w:t xml:space="preserve">Canonical:</w:t>
      </w:r>
      <w:r>
        <w:t xml:space="preserve"> </w:t>
      </w:r>
      <w:hyperlink r:id="rId10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BlockText"/>
      </w:pPr>
      <w:r>
        <w:rPr>
          <w:b/>
          <w:bCs/>
        </w:rPr>
        <w:t xml:space="preserve">Read order on a cold start: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 Inherited unconditionally.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agent guardrails (anti-bluff, no-guessing, paired mutations).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Herald overview + how-to.</w:t>
      </w:r>
    </w:p>
    <w:p>
      <w:pPr>
        <w:pStyle w:val="Compact"/>
        <w:numPr>
          <w:ilvl w:val="0"/>
          <w:numId w:val="1002"/>
        </w:numPr>
      </w:pPr>
      <w:r>
        <w:t xml:space="preserve">This file (Herald-specific notes below).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Herald's project-specific constitutional extensions.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operator/agent guide for the discovery contract + the inheritance gate.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mission spec (mostly TBD).</w:t>
      </w:r>
    </w:p>
    <w:bookmarkEnd w:id="11"/>
    <w:bookmarkStart w:id="12" w:name="project-status"/>
    <w:p>
      <w:pPr>
        <w:pStyle w:val="Heading2"/>
      </w:pPr>
      <w:r>
        <w:t xml:space="preserve">Project 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. As of this writing the repo contains: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mission, deployment model, inheritance contract, quickstart.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MVP spec stub (substantive sections TBD).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Herald's project constitution (extends Helix).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operator/agent guide for parent-discovery + gate semantics.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upstreams/</w:t>
      </w:r>
      <w:r>
        <w:t xml:space="preserve"> </w:t>
      </w:r>
      <w:r>
        <w:t xml:space="preserve">— Herald's mirror declarations (see below).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_meta.sh</w:t>
      </w:r>
      <w:r>
        <w:t xml:space="preserve"> </w:t>
      </w:r>
      <w:r>
        <w:t xml:space="preserve">— paired inheritance gate (§1.1).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+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Herald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ship a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of its own; the parent project provides it. See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 of 2026-05-20</w:t>
      </w:r>
      <w:r>
        <w:t xml:space="preserve"> </w:t>
      </w:r>
      <w:r>
        <w:t xml:space="preserve">the Go scaffold has landed (first-implementation cycle r1). The repo now contains: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go.work</w:t>
      </w:r>
      <w:r>
        <w:t xml:space="preserve"> </w:t>
      </w:r>
      <w:r>
        <w:t xml:space="preserve">(gitignored locally; check in if the project wants reproducible workspaces — current convention: gitignored per spec §9.1).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commons/</w:t>
      </w:r>
      <w:r>
        <w:t xml:space="preserve"> </w:t>
      </w:r>
      <w:r>
        <w:t xml:space="preserve">(L0) —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with the full §11.0 Channel contract + Subscriber/CloudEventEnvelope/TraceContext/Branding/ChannelID;</w:t>
      </w:r>
      <w:r>
        <w:t xml:space="preserve"> </w:t>
      </w:r>
      <w:r>
        <w:rPr>
          <w:rStyle w:val="VerbatimChar"/>
        </w:rPr>
        <w:t xml:space="preserve">commons/clock.go</w:t>
      </w:r>
      <w:r>
        <w:t xml:space="preserve"> </w:t>
      </w:r>
      <w:r>
        <w:t xml:space="preserve">Clock abstraction;</w:t>
      </w:r>
      <w:r>
        <w:t xml:space="preserve"> </w:t>
      </w:r>
      <w:r>
        <w:rPr>
          <w:rStyle w:val="VerbatimChar"/>
        </w:rPr>
        <w:t xml:space="preserve">commons/uuidv7.go</w:t>
      </w:r>
      <w:r>
        <w:t xml:space="preserve">;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per-flavor factory.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commons_prefix/</w:t>
      </w:r>
      <w:r>
        <w:t xml:space="preserve"> </w:t>
      </w:r>
      <w:r>
        <w:t xml:space="preserve">— §8.2 3-letter prefix algorithm.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commons_messaging/channels/null/</w:t>
      </w:r>
      <w:r>
        <w:t xml:space="preserve"> </w:t>
      </w:r>
      <w:r>
        <w:t xml:space="preserve">— full §11.14</w:t>
      </w:r>
      <w:r>
        <w:t xml:space="preserve"> </w:t>
      </w:r>
      <w:r>
        <w:rPr>
          <w:rStyle w:val="VerbatimChar"/>
        </w:rPr>
        <w:t xml:space="preserve">null://</w:t>
      </w:r>
      <w:r>
        <w:t xml:space="preserve"> </w:t>
      </w:r>
      <w:r>
        <w:t xml:space="preserve">sandbox adapter (working, tested).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commons_messaging/channels/tgram/</w:t>
      </w:r>
      <w:r>
        <w:t xml:space="preserve"> </w:t>
      </w:r>
      <w:r>
        <w:t xml:space="preserve">— Telegram adapter SCAFFOLD (HRD-011 open).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commons_messaging/dispatch/claude_code/</w:t>
      </w:r>
      <w:r>
        <w:t xml:space="preserve"> </w:t>
      </w:r>
      <w:r>
        <w:t xml:space="preserve">— Claude Code session-resolution + envelope formatter; live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 pending (HRD-012 open).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commons_storage/</w:t>
      </w:r>
      <w:r>
        <w:t xml:space="preserve"> </w:t>
      </w:r>
      <w:r>
        <w:t xml:space="preserve">— 9 SQL migrations (000001..000005) embedded via</w:t>
      </w:r>
      <w:r>
        <w:t xml:space="preserve"> </w:t>
      </w:r>
      <w:r>
        <w:rPr>
          <w:rStyle w:val="VerbatimChar"/>
        </w:rPr>
        <w:t xml:space="preserve">//go:embed</w:t>
      </w:r>
      <w:r>
        <w:t xml:space="preserve">; pgx + River + Redis wiring pending (HRD-010 open).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pherald/cmd/pherald/</w:t>
      </w:r>
      <w:r>
        <w:t xml:space="preserve"> </w:t>
      </w:r>
      <w:r>
        <w:t xml:space="preserve">— Cobra CLI;</w:t>
      </w:r>
      <w:r>
        <w:t xml:space="preserve"> </w:t>
      </w:r>
      <w:r>
        <w:rPr>
          <w:rStyle w:val="VerbatimChar"/>
        </w:rPr>
        <w:t xml:space="preserve">pherald version</w:t>
      </w:r>
      <w:r>
        <w:t xml:space="preserve"> </w:t>
      </w:r>
      <w:r>
        <w:t xml:space="preserve">works end-to-end; other subcommands stubbed with HRD-NNN error pointers.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Herald-specific Docker/Podman Compose + Dockerfile + otel-config +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per §26.5 (HRD-008 open for operator validation). Migrated from</w:t>
      </w:r>
      <w:r>
        <w:t xml:space="preserve"> </w:t>
      </w:r>
      <w:r>
        <w:rPr>
          <w:rStyle w:val="VerbatimChar"/>
        </w:rPr>
        <w:t xml:space="preserve">containers/quickstart/</w:t>
      </w:r>
      <w:r>
        <w:t xml:space="preserve"> </w:t>
      </w:r>
      <w:r>
        <w:t xml:space="preserve">2026-05-20 when the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was added.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 git submodule pointing at</w:t>
      </w:r>
      <w:r>
        <w:t xml:space="preserve"> </w:t>
      </w:r>
      <w:r>
        <w:rPr>
          <w:rStyle w:val="VerbatimChar"/>
        </w:rPr>
        <w:t xml:space="preserve">git@github.com:vasic-digital/containers.git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Go module — runtime auto-detection + on-demand container boot + lifecycle/health). Imported by Foundation tests + the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 </w:t>
      </w:r>
      <w:r>
        <w:t xml:space="preserve">subcommand to bring Postgres + Redis + OTel up on-demand.</w:t>
      </w:r>
    </w:p>
    <w:p>
      <w:pPr>
        <w:pStyle w:val="FirstParagraph"/>
      </w:pPr>
      <w:r>
        <w:rPr>
          <w:b/>
          <w:bCs/>
        </w:rPr>
        <w:t xml:space="preserve">Build + test:</w:t>
      </w:r>
      <w:r>
        <w:t xml:space="preserve"> </w:t>
      </w:r>
      <w:r>
        <w:t xml:space="preserve">from the repo root: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./commons/... ./commons_prefix/... ./commons_messaging/... ./commons_storage/... ./pherald/...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 ./commons/... ./commons_prefix/... ./commons_messaging/... ./commons_storage/...</w:t>
      </w:r>
    </w:p>
    <w:p>
      <w:pPr>
        <w:pStyle w:val="FirstParagraph"/>
      </w:pPr>
      <w:r>
        <w:t xml:space="preserve">Tests pass on Go 1.22+ (verified on 1.26). Workspace is configured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listing all 5 modules.</w:t>
      </w:r>
    </w:p>
    <w:p>
      <w:pPr>
        <w:pStyle w:val="BodyText"/>
      </w:pPr>
      <w:r>
        <w:t xml:space="preserve">When the user asks to "add a feature" the spec is the source of truth — find the relevant §, then the relevant module + package, then the relevant HRD-NNN if one is already open. New work opens a new HRD-NNN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per V3 §8.3 lifecycle.</w:t>
      </w:r>
    </w:p>
    <w:p>
      <w:pPr>
        <w:pStyle w:val="BodyText"/>
      </w:pPr>
      <w:r>
        <w:t xml:space="preserve">Do not invent build/test commands beyond what</w:t>
      </w:r>
      <w:r>
        <w:t xml:space="preserve"> </w:t>
      </w:r>
      <w:r>
        <w:rPr>
          <w:rStyle w:val="VerbatimChar"/>
        </w:rPr>
        <w:t xml:space="preserve">go test ./&lt;module&gt;/...</w:t>
      </w:r>
      <w:r>
        <w:t xml:space="preserve"> </w:t>
      </w:r>
      <w:r>
        <w:t xml:space="preserve">provides. Live-integration tests (Telegram bot, Claude Code session, real Postgres) require operator-supplied credentials — see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for the live-test handoff prompt.</w:t>
      </w:r>
    </w:p>
    <w:bookmarkEnd w:id="12"/>
    <w:bookmarkStart w:id="13" w:name="mission-from-the-spec"/>
    <w:p>
      <w:pPr>
        <w:pStyle w:val="Heading2"/>
      </w:pPr>
      <w:r>
        <w:t xml:space="preserve">Mission (from the spec)</w:t>
      </w:r>
    </w:p>
    <w:p>
      <w:pPr>
        <w:pStyle w:val="BlockText"/>
      </w:pPr>
      <w:r>
        <w:t xml:space="preserve">Ingesting system events and reliably fanning them out to multiple notification channels so every alert reaches the right destination without confusion.</w:t>
      </w:r>
    </w:p>
    <w:p>
      <w:pPr>
        <w:pStyle w:val="FirstParagraph"/>
      </w:pPr>
      <w:r>
        <w:t xml:space="preserve">The spec mentions "Integration into the Constitution" as a planned section — Herald is intended to plug into a larger governance/policy system that lives outside this repo. Treat that as a real constraint when designing interfaces, even though the details are TBD.</w:t>
      </w:r>
    </w:p>
    <w:bookmarkEnd w:id="13"/>
    <w:bookmarkStart w:id="14" w:name="intended-stack"/>
    <w:p>
      <w:pPr>
        <w:pStyle w:val="Heading2"/>
      </w:pPr>
      <w:r>
        <w:t xml:space="preserve">Intended stack</w:t>
      </w:r>
    </w:p>
    <w:p>
      <w:pPr>
        <w:pStyle w:val="FirstParagraph"/>
      </w:pPr>
      <w:r>
        <w:t xml:space="preserve">Go, inferred from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go.work.sum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profile.cov</w:t>
      </w:r>
      <w:r>
        <w:t xml:space="preserve">). When you scaffold, default to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unless the user asks otherwise, and use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vet ./...</w:t>
      </w:r>
      <w:r>
        <w:t xml:space="preserve"> </w:t>
      </w:r>
      <w:r>
        <w:t xml:space="preserve">— there is no project-specific tooling to override these yet.</w:t>
      </w:r>
    </w:p>
    <w:bookmarkEnd w:id="14"/>
    <w:bookmarkStart w:id="15" w:name="multi-host-mirror-convention"/>
    <w:p>
      <w:pPr>
        <w:pStyle w:val="Heading2"/>
      </w:pPr>
      <w:r>
        <w:t xml:space="preserve">Multi-host mirror convention</w:t>
      </w:r>
    </w:p>
    <w:p>
      <w:pPr>
        <w:pStyle w:val="FirstParagraph"/>
      </w:pPr>
      <w:r>
        <w:rPr>
          <w:rStyle w:val="VerbatimChar"/>
        </w:rPr>
        <w:t xml:space="preserve">upstreams/</w:t>
      </w:r>
      <w:r>
        <w:t xml:space="preserve"> </w:t>
      </w:r>
      <w:r>
        <w:t xml:space="preserve">contains one script per mirror host: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GitHub.sh</w:t>
      </w:r>
      <w:r>
        <w:t xml:space="preserve"> </w:t>
      </w:r>
      <w:r>
        <w:t xml:space="preserve">— primary:</w:t>
      </w:r>
      <w:r>
        <w:t xml:space="preserve"> </w:t>
      </w:r>
      <w:r>
        <w:rPr>
          <w:rStyle w:val="VerbatimChar"/>
        </w:rPr>
        <w:t xml:space="preserve">git@github.com:vasic-digital/Herald.git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GitLab.sh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git@gitlab.com:vasic-digital/herald.git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GitFlic.sh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git@gitflic.ru:vasic-digital/herald.git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GitVerse.sh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git@gitverse.ru:vasic-digital/Herald.git</w:t>
      </w:r>
    </w:p>
    <w:p>
      <w:pPr>
        <w:pStyle w:val="FirstParagraph"/>
      </w:pPr>
      <w:r>
        <w:t xml:space="preserve">Each script exports a single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 </w:t>
      </w:r>
      <w:r>
        <w:t xml:space="preserve">variable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 </w:t>
      </w:r>
      <w:r>
        <w:t xml:space="preserve">(</w:t>
      </w:r>
      <w:r>
        <w:rPr>
          <w:rStyle w:val="VerbatimChar"/>
        </w:rPr>
        <w:t xml:space="preserve">. upstreams/GitHub.sh</w:t>
      </w:r>
      <w:r>
        <w:t xml:space="preserve">), not executed for its output. The naming is intentional — capitalization matches the host's brand (GitFlic, GitVerse). Don't normalize these to lowercase or collapse them into one file; the per-host split is the interface other tooling (likely external mirror-push scripts) keys on.</w:t>
      </w:r>
    </w:p>
    <w:p>
      <w:pPr>
        <w:pStyle w:val="BodyText"/>
      </w:pPr>
      <w:r>
        <w:t xml:space="preserve">When adding a new mirror, copy an existing script and change only the URL — keep the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shebang, blank line, and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form identical so any consumer that greps these files keeps working.</w:t>
      </w:r>
    </w:p>
    <w:bookmarkEnd w:id="15"/>
    <w:bookmarkStart w:id="16" w:name="X81ca6bc650b2a73abee076663d5efd898631acb"/>
    <w:p>
      <w:pPr>
        <w:pStyle w:val="Heading2"/>
      </w:pPr>
      <w:r>
        <w:t xml:space="preserve">Inheritance gate (run before any commit touching root docs)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6 invariants (I1–I6), 9 checks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The gate inline-walks parents for</w:t>
      </w:r>
      <w:r>
        <w:t xml:space="preserve"> </w:t>
      </w:r>
      <w:r>
        <w:rPr>
          <w:rStyle w:val="VerbatimChar"/>
        </w:rPr>
        <w:t xml:space="preserve">&lt;ancestor&gt;/constitution/Constitution.md</w:t>
      </w:r>
      <w:r>
        <w:t xml:space="preserve">. I5 is split into I5a–d (one check per root doc that must declare parent-discovery: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 I6 forbids re-introducing</w:t>
      </w:r>
      <w:r>
        <w:t xml:space="preserve"> </w:t>
      </w:r>
      <w:r>
        <w:rPr>
          <w:rStyle w:val="VerbatimChar"/>
        </w:rPr>
        <w:t xml:space="preserve">&lt;repo-root&gt;/constitution/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— the §104 invariant.</w:t>
      </w:r>
    </w:p>
    <w:p>
      <w:pPr>
        <w:pStyle w:val="BodyText"/>
      </w:pPr>
      <w:r>
        <w:t xml:space="preserve">If either script fails, fix at root cause per Universal §11.4.4. Never silently accept the FAIL.</w:t>
      </w:r>
    </w:p>
    <w:bookmarkEnd w:id="16"/>
    <w:bookmarkStart w:id="17" w:name="X32120c2cbf4d615e5864fa1300f097d3beccf79"/>
    <w:p>
      <w:pPr>
        <w:pStyle w:val="Heading2"/>
      </w:pPr>
      <w:r>
        <w:t xml:space="preserve">Spec-change rule (load-bearing —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§"Specification documents")</w:t>
      </w:r>
    </w:p>
    <w:p>
      <w:pPr>
        <w:pStyle w:val="FirstParagraph"/>
      </w:pPr>
      <w:r>
        <w:t xml:space="preserve">Any modification to a file under</w:t>
      </w:r>
      <w:r>
        <w:t xml:space="preserve"> </w:t>
      </w:r>
      <w:r>
        <w:rPr>
          <w:rStyle w:val="VerbatimChar"/>
        </w:rPr>
        <w:t xml:space="preserve">docs/specs/</w:t>
      </w:r>
      <w:r>
        <w:t xml:space="preserve"> </w:t>
      </w:r>
      <w:r>
        <w:t xml:space="preserve">(any depth) triggers</w:t>
      </w:r>
      <w:r>
        <w:t xml:space="preserve"> </w:t>
      </w:r>
      <w:r>
        <w:rPr>
          <w:b/>
          <w:bCs/>
        </w:rPr>
        <w:t xml:space="preserve">mandatory comprehensive planning and implementation</w:t>
      </w:r>
      <w:r>
        <w:t xml:space="preserve"> </w:t>
      </w:r>
      <w:r>
        <w:t xml:space="preserve">of the implied changes — you may not edit the spec in isolation. This rule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 to creating or renaming files; for those, ask the operator what to do with the new path. Treat every spec edit as a project-wide ripple, not a doc tweak.</w:t>
      </w:r>
    </w:p>
    <w:bookmarkEnd w:id="17"/>
    <w:bookmarkStart w:id="18" w:name="X9a65c2c879d82c2edb3d79b214e6ac5cac77ed9"/>
    <w:p>
      <w:pPr>
        <w:pStyle w:val="Heading2"/>
      </w:pPr>
      <w:r>
        <w:t xml:space="preserve">Project conventions from the spec (apply when scaffolding)</w:t>
      </w:r>
    </w:p>
    <w:p>
      <w:pPr>
        <w:pStyle w:val="FirstParagraph"/>
      </w:pPr>
      <w:r>
        <w:t xml:space="preserve">These are declared in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and are easy to miss because no code enforces them yet: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Workable-item prefix:</w:t>
      </w:r>
      <w:r>
        <w:t xml:space="preserve"> </w:t>
      </w:r>
      <w:r>
        <w:rPr>
          <w:rStyle w:val="VerbatimChar"/>
        </w:rPr>
        <w:t xml:space="preserve">HRD-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HRD-001</w:t>
      </w:r>
      <w:r>
        <w:t xml:space="preserve">). Use it for issues, status entries, fix logs.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Flavor binaries:</w:t>
      </w:r>
      <w:r>
        <w:t xml:space="preserve"> </w:t>
      </w:r>
      <w:r>
        <w:t xml:space="preserve">each Herald flavor ships as its own CLI binary, named</w:t>
      </w:r>
      <w:r>
        <w:t xml:space="preserve"> </w:t>
      </w:r>
      <w:r>
        <w:rPr>
          <w:rStyle w:val="VerbatimChar"/>
        </w:rPr>
        <w:t xml:space="preserve">&lt;prefix&gt;herald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(Project Herald),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 </w:t>
      </w:r>
      <w:r>
        <w:t xml:space="preserve">(System Herald), etc. Designed for CI / pipeline / cron / AI-agent invocation.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Layered shared code: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(level 1) → … → flavor. Put new shared code in the</w:t>
      </w:r>
      <w:r>
        <w:t xml:space="preserve"> </w:t>
      </w:r>
      <w:r>
        <w:rPr>
          <w:b/>
          <w:bCs/>
        </w:rPr>
        <w:t xml:space="preserve">lowest layer that still makes sense</w:t>
      </w:r>
      <w:r>
        <w:t xml:space="preserve">; flavors inherit upward.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owns the Telegram / Max / Slack / Email / Markdown-export integrations.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Messenger integration priority:</w:t>
      </w:r>
      <w:r>
        <w:t xml:space="preserve"> </w:t>
      </w:r>
      <w:r>
        <w:t xml:space="preserve">Telegram → Max → Slack (then Email, then Markdown/PDF/HTML export). Microsoft Teams, Lark, Discord, WhatsApp, Viber are explicitly later iterations — don't pre-implement.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Conversation diary:</w:t>
      </w:r>
      <w:r>
        <w:t xml:space="preserve"> </w:t>
      </w:r>
      <w:r>
        <w:t xml:space="preserve">every message in/out is appended to</w:t>
      </w:r>
      <w:r>
        <w:t xml:space="preserve"> </w:t>
      </w:r>
      <w:r>
        <w:rPr>
          <w:rStyle w:val="VerbatimChar"/>
        </w:rPr>
        <w:t xml:space="preserve">docs/herald/diary/main.md</w:t>
      </w:r>
      <w:r>
        <w:t xml:space="preserve"> </w:t>
      </w:r>
      <w:r>
        <w:t xml:space="preserve">and re-exported to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main.html</w:t>
      </w:r>
      <w:r>
        <w:t xml:space="preserve"> </w:t>
      </w:r>
      <w:r>
        <w:t xml:space="preserve">in sync. Don't break this invariant when designing channel I/O.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Container stack:</w:t>
      </w:r>
      <w:r>
        <w:t xml:space="preserve"> </w:t>
      </w:r>
      <w:r>
        <w:t xml:space="preserve">Postgres (main DB) + Redis (in-memory) bundled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https://github.com/vasic-digital/containers</w:t>
      </w:r>
      <w:r>
        <w:t xml:space="preserve">). All container names start with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; all host ports start with</w:t>
      </w:r>
      <w:r>
        <w:t xml:space="preserve"> </w:t>
      </w:r>
      <w:r>
        <w:rPr>
          <w:rStyle w:val="VerbatimChar"/>
        </w:rPr>
        <w:t xml:space="preserve">70XXX</w:t>
      </w:r>
      <w:r>
        <w:t xml:space="preserve"> </w:t>
      </w:r>
      <w:r>
        <w:t xml:space="preserve">(70001, 70002, …) to avoid collisions.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Credentials: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(git-ignored) with a committed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Resolution order: exported shell vars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load first, then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overrides them on key collision.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Vendored SDKs:</w:t>
      </w:r>
      <w:r>
        <w:t xml:space="preserve"> </w:t>
      </w:r>
      <w:r>
        <w:t xml:space="preserve">any official/unofficial messenger SDK or API client we depend on goes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commons_messaging/sdk/telegram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commons_messaging/api/telegram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'd into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.</w:t>
      </w:r>
    </w:p>
    <w:bookmarkEnd w:id="18"/>
    <w:bookmarkStart w:id="19" w:name="X9633c229000ce516a1919fd07cb27a4f52cfbed"/>
    <w:p>
      <w:pPr>
        <w:pStyle w:val="Heading2"/>
      </w:pPr>
      <w:r>
        <w:rPr>
          <w:rStyle w:val="VerbatimChar"/>
        </w:rPr>
        <w:t xml:space="preserve">constitutable/</w:t>
      </w:r>
      <w:r>
        <w:t xml:space="preserve"> </w:t>
      </w:r>
      <w:r>
        <w:t xml:space="preserve">directory (parent-project extension hook)</w:t>
      </w:r>
    </w:p>
    <w:p>
      <w:pPr>
        <w:pStyle w:val="FirstParagraph"/>
      </w:pPr>
      <w:r>
        <w:t xml:space="preserve">The empty</w:t>
      </w:r>
      <w:r>
        <w:t xml:space="preserve"> </w:t>
      </w:r>
      <w:r>
        <w:rPr>
          <w:rStyle w:val="VerbatimChar"/>
        </w:rPr>
        <w:t xml:space="preserve">constitutable/</w:t>
      </w:r>
      <w:r>
        <w:t xml:space="preserve"> </w:t>
      </w:r>
      <w:r>
        <w:t xml:space="preserve">directory at the repo root is intentional. Per the spec, a parent project may drop additional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constitutable/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constitutable/&lt;flavor&gt;/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constitutable/&lt;flavor&gt;/&lt;variant&gt;/</w:t>
      </w:r>
      <w:r>
        <w:t xml:space="preserve">, etc.) to layer extensions or overrides on top of the discovered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submodule. Apply-order: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→</w:t>
      </w:r>
      <w:r>
        <w:t xml:space="preserve"> </w:t>
      </w:r>
      <w:r>
        <w:rPr>
          <w:rStyle w:val="VerbatimChar"/>
        </w:rPr>
        <w:t xml:space="preserve">constitutable/</w:t>
      </w:r>
      <w:r>
        <w:t xml:space="preserve"> </w:t>
      </w:r>
      <w:r>
        <w:t xml:space="preserve">extensions → Herald's own docs. Do not delete the directory because it's empty.</w:t>
      </w:r>
    </w:p>
    <w:bookmarkEnd w:id="19"/>
    <w:bookmarkStart w:id="20" w:name="documentation-artefacts-pdfhtml-siblings"/>
    <w:p>
      <w:pPr>
        <w:pStyle w:val="Heading2"/>
      </w:pPr>
      <w:r>
        <w:t xml:space="preserve">Documentation artefacts (PDF/HTML siblings)</w:t>
      </w:r>
    </w:p>
    <w:p>
      <w:pPr>
        <w:pStyle w:val="FirstParagraph"/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each ship with a committed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sibling. When you edit one of these Markdown files, the PDF goes stale — flag it; do not regenerate silently unless the operator asks.</w:t>
      </w:r>
    </w:p>
    <w:bookmarkEnd w:id="20"/>
    <w:bookmarkStart w:id="21" w:name="notes-for-future-scaffolding"/>
    <w:p>
      <w:pPr>
        <w:pStyle w:val="Heading2"/>
      </w:pPr>
      <w:r>
        <w:t xml:space="preserve">Notes for future scaffolding</w:t>
      </w:r>
    </w:p>
    <w:p>
      <w:pPr>
        <w:pStyle w:val="Compact"/>
        <w:numPr>
          <w:ilvl w:val="0"/>
          <w:numId w:val="1007"/>
        </w:numPr>
      </w:pPr>
      <w:r>
        <w:t xml:space="preserve">The repo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and committed under "Milos Vasic" — no other contributors yet.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.claude/</w:t>
      </w:r>
      <w:r>
        <w:t xml:space="preserve"> </w:t>
      </w:r>
      <w:r>
        <w:t xml:space="preserve">exists but is empty; project-local Claude config can go there.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LICENSE</w:t>
      </w:r>
      <w:r>
        <w:t xml:space="preserve"> </w:t>
      </w:r>
      <w:r>
        <w:t xml:space="preserve">is present (do not overwrite without asking).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.DS_Store</w:t>
      </w:r>
      <w:r>
        <w:t xml:space="preserve"> </w:t>
      </w:r>
      <w:r>
        <w:t xml:space="preserve">is now git-ignored; do not re-add the previously-stray files.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CLAUDE.md</dc:title>
  <dc:creator/>
  <cp:keywords/>
  <dcterms:created xsi:type="dcterms:W3CDTF">2026-05-20T12:34:09Z</dcterms:created>
  <dcterms:modified xsi:type="dcterms:W3CDTF">2026-05-20T12:34:09Z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