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r6 adds §43 Constitution-derived flavor commands + workflows (27 entries). HRD-029..HRD-056 opened to track each command's implementation. Combined with HRD-018..HRD-028 from r5, the constitution-flavor integration plan now spans 39 workable items rolled out in 4 implementation waves.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45 open / in-progress workable items across quickstart validation, live channel integrations, REST surface, the §42 binding rollout, and the §43 command-catalogue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 </w:t>
            </w:r>
            <w:r>
              <w:t xml:space="preserve">I6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enables Helix-stack module installation via git submodules under</w:t>
            </w:r>
            <w:r>
              <w:t xml:space="preserve"> </w:t>
            </w:r>
            <w:r>
              <w:rPr>
                <w:rStyle w:val="VerbatimChar"/>
              </w:rPr>
              <w:t xml:space="preserve">submodules/&lt;name&gt;/</w:t>
            </w:r>
            <w:r>
              <w:t xml:space="preserve"> </w:t>
            </w:r>
            <w:r>
              <w:t xml:space="preserve">at Foundation M2/M3 per the CLAUDE.md vendored-SDK policy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§44.9; Catalogue-Check: no-match (Herald-gate refinement)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2026-05-20T12:08:05Z</dcterms:created>
  <dcterms:modified xsi:type="dcterms:W3CDTF">2026-05-20T12:08:05Z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