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**r46: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BOTH pipe-tables (the "Open" + "In progress" tracker tables), each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severity-grouped metadata stays together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Tables widen 8→10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HRD-081, HRD-115, HRD-117, HRD-131, HRD-143, HRD-144, HRD-145, HRD-146, HRD-147, HRD-150, HRD-155, HRD-156, HRD-157, HRD-158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17 open / in-progress / Obsolete-pending workable items (was 43; r43 §11.4.19-migrated 51 code-verified HRDs — the 7 flavor bindings HRD-019..025, the §43 catalogue HRD-029..056, the Batch-D pgx repo HRD-085..089, Wave 7 HRD-116/118/119/120/121, ATMOSphere features HRD-148/149/151/152/153/154 —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after build+test+e2e+qa re-verification). The 17 remaining: HRD-115 (Slack adapter — operator-gated on LIVE round-trip evidence), HRD-117 (spec doc-only), HRD-131/150/155/156/157/158 (ATMOSphere/SSoT externally gated), HRD-146/147/081/008/015 (not-started/upstream/operator), HRD-143/144/145 (Obsolete).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 — superseded by §11.4.98 + HRD-140.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(full-automation anti-bluff mandate) + Herald §108.m + HRD-140 (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); Triple-check evidence: (a) git-grep verified the test still exists at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commons_messaging/channels/tgram/subscribe_integration_test.go:30</w:t>
            </w:r>
            <w:r>
              <w:t xml:space="preserve"> </w:t>
            </w:r>
            <w:r>
              <w:t xml:space="preserve">with the literal source comment "requires the operator to hand-send a message to the configured chat within the 60s window" (direct §11.4.98 violation — runtime human action required during test execution),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(HRD-140) introduced the MTProto-driven autonomous replacement, (c) runtime path: the new HRD-140 test PASSED LIVE in 1.30s end-to-end with zero human action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. Action: file is retained as a documentation artefact (commented</w:t>
            </w:r>
            <w:r>
              <w:t xml:space="preserve"> </w:t>
            </w:r>
            <w:r>
              <w:rPr>
                <w:rStyle w:val="VerbatimChar"/>
              </w:rPr>
              <w:t xml:space="preserve">t.Skipf(§11.4.98 supersession)</w:t>
            </w:r>
            <w:r>
              <w:t xml:space="preserve"> </w:t>
            </w:r>
            <w:r>
              <w:t xml:space="preserve">body) — operators MUST use HRD-140's MTProto path.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HRD-140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live closed-loop script — superseded by §11.4.98 + HRD-141.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HRD-141 (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, Fixed.md row, commits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+</w:t>
            </w:r>
            <w:r>
              <w:rPr>
                <w:rStyle w:val="VerbatimChar"/>
              </w:rPr>
              <w:t xml:space="preserve">d7d6524</w:t>
            </w:r>
            <w:r>
              <w:t xml:space="preserve">+</w:t>
            </w:r>
            <w:r>
              <w:rPr>
                <w:rStyle w:val="VerbatimChar"/>
              </w:rPr>
              <w:t xml:space="preserve">0797e85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ls tests/test_wave6_live_loop.sh</w:t>
            </w:r>
            <w:r>
              <w:t xml:space="preserve"> </w:t>
            </w:r>
            <w:r>
              <w:t xml:space="preserve">confirms file exists (6782 bytes),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(HRD-141) introduced the MTProto-driven autonomous closed-loop replacement with journal-based §11.4.98 autonomy assertion, (c) runtime path: HRD-141 PASSED LIVE in 48.58s with full bidirectional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journal trace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. Action: shell script retained as historical reference; new e2e flow goes through HRD-141.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HRD-141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 — superseded by §11.4.98 + HRD-142.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HRD-142 (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'"--manual"' qaherald/cmd/qaherald/lifecycle.go:174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cmd.Flags().BoolVar(&amp;f.Manual, "manual", false, ...)</w:t>
            </w:r>
            <w:r>
              <w:t xml:space="preserve"> </w:t>
            </w:r>
            <w:r>
              <w:t xml:space="preserve">is wired in the Cobra subcommand,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(HRD-142) introduced the 3-scenario MTProto-driven autonomous replacement (Help/Status/Continue fast-paths, journal-based assertions), (c) runtime path: HRD-142 PASSED LIVE in 26.04s with 3/3 subtests PASS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docs/qa/HRD-LIVE-MTPROTO-20260528T125321Z/E137_wave65_lifecycle/transcript*.txt</w:t>
            </w:r>
            <w:r>
              <w:t xml:space="preserve">. Action: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retained for ad-hoc operator debugging but explicitly NOT a §11.4.98-compliant test path — CI MUST use the MTProto build-tag path from HRD-142.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HRD-142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 — superseded by design change.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2026-05-30; Reason=superseded-by-design-change; Superseding-item=the inheritance-gate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slot was repurposed for the §107 end-user-usability covenant (</w:t>
            </w:r>
            <w:r>
              <w:rPr>
                <w:rStyle w:val="VerbatimChar"/>
              </w:rPr>
              <w:t xml:space="preserve">I8a</w:t>
            </w:r>
            <w:r>
              <w:t xml:space="preserve">/</w:t>
            </w:r>
            <w:r>
              <w:rPr>
                <w:rStyle w:val="VerbatimChar"/>
              </w:rPr>
              <w:t xml:space="preserve">I8b</w:t>
            </w:r>
            <w:r>
              <w:t xml:space="preserve">/</w:t>
            </w:r>
            <w:r>
              <w:rPr>
                <w:rStyle w:val="VerbatimChar"/>
              </w:rPr>
              <w:t xml:space="preserve">I8c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), and the Go-scaffold verification HRD-015 requested is now covered by the broader anti-bluff test suite rather than a dedicated gate invariant;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'I8[abc]' tests/test_constitution_inheritance.sh</w:t>
            </w:r>
            <w:r>
              <w:t xml:space="preserve"> </w:t>
            </w:r>
            <w:r>
              <w:t xml:space="preserve">shows the three I8a/b/c checks assert the §107 covenant anchors in CLAUDE.md/AGENTS.md/HERALD_CONSTITUTION.md — NOT the Go-scaffold (the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number was reassigned), (b) the null adapter is a full tested adapter (</w:t>
            </w:r>
            <w:r>
              <w:rPr>
                <w:rStyle w:val="VerbatimChar"/>
              </w:rPr>
              <w:t xml:space="preserve">commons_messaging/channels/null/</w:t>
            </w:r>
            <w:r>
              <w:t xml:space="preserve"> </w:t>
            </w:r>
            <w:r>
              <w:t xml:space="preserve">per CLAUDE.md) and</w:t>
            </w:r>
            <w:r>
              <w:t xml:space="preserve"> </w:t>
            </w:r>
            <w:r>
              <w:rPr>
                <w:rStyle w:val="VerbatimChar"/>
              </w:rPr>
              <w:t xml:space="preserve">go.work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exist and build green — the 2026-05-30 green-baseline reported 18/18 Go modules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 inheritance gate 15 PASS / 0 FAIL, (c) runtime: HRD-015's intent (verify the Go scaffold passes) is continuously satisfied by</w:t>
            </w:r>
            <w:r>
              <w:t xml:space="preserve"> </w:t>
            </w:r>
            <w:r>
              <w:rPr>
                <w:rStyle w:val="VerbatimChar"/>
              </w:rPr>
              <w:t xml:space="preserve">go test ./...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, so a separate I8 scaffold invariant is redundant. Action: closed Obsolete; no code change.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superseded by the §107 I8a/b/c gate + the broader test suite;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2026-05-31T06:35:56Z</dcterms:created>
  <dcterms:modified xsi:type="dcterms:W3CDTF">2026-05-31T06:35:56Z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