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4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r5: added an "Operator setup guides" note + doc-link that subscribers speak plain natural language (no command syntax) and the System determines intent via the three-tier discipline (command-recognition fast-path → Claude Code intent inference →</w:t>
            </w:r>
            <w:r>
              <w:t xml:space="preserve"> </w:t>
            </w:r>
            <w:r>
              <w:rPr>
                <w:rStyle w:val="VerbatimChar"/>
              </w:rPr>
              <w:t xml:space="preserve">clarify</w:t>
            </w:r>
            <w:r>
              <w:t xml:space="preserve"> </w:t>
            </w:r>
            <w:r>
              <w:t xml:space="preserve">reply-tag-and-ask fallback) — authoritative contract</w:t>
            </w:r>
            <w:r>
              <w:t xml:space="preserve"> </w:t>
            </w:r>
            <w:r>
              <w:rPr>
                <w:rStyle w:val="VerbatimChar"/>
              </w:rPr>
              <w:t xml:space="preserve">docs/design/INTENT_RECOGNITION.md</w:t>
            </w:r>
            <w:r>
              <w:t xml:space="preserve">, detail in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§6B. Prior r4: added a credentials-guide bullet + doc-link for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operator env var and the participant/attribution contract (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) driving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attribution + notification @-tagging. Prior r3: updated spec links to V4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specification.V4.md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per-flavor-operator-guides">
        <w:r>
          <w:rPr>
            <w:rStyle w:val="Hyperlink"/>
          </w:rPr>
          <w:t xml:space="preserve">Per-flavor operator guides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 </w:t>
      </w:r>
      <w:r>
        <w:t xml:space="preserve">(2026-05-15). The repository currently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docs/specs/mvp/specification.V4.md</w:t>
        </w:r>
      </w:hyperlink>
      <w:r>
        <w:t xml:space="preserve"> </w:t>
      </w:r>
      <w:r>
        <w:t xml:space="preserve">— comprehensive (~3900 lines): project-integration contract, inbound processing pipeline, LLM/agent dispatch with Claude Code, tri-stage reply protocol, versioned reports, multi-format outbound attachments, nine refined flavors. V1 and V2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 Go source code, and no build tooling yet. Intended language is Go;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will be used when scaffolding starts.</w:t>
      </w:r>
    </w:p>
    <w:bookmarkEnd w:id="15"/>
    <w:bookmarkStart w:id="16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6"/>
    <w:bookmarkStart w:id="18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18"/>
    <w:bookmarkStart w:id="21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19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19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1"/>
    <w:bookmarkStart w:id="22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specification.V4.md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2"/>
    <w:bookmarkStart w:id="29" w:name="quickstart-for-developers-and-agents"/>
    <w:p>
      <w:pPr>
        <w:pStyle w:val="Heading2"/>
      </w:pPr>
      <w:r>
        <w:t xml:space="preserve">Quickstart for developers and agents</w:t>
      </w:r>
    </w:p>
    <w:bookmarkStart w:id="24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3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4"/>
    <w:bookmarkStart w:id="25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5"/>
    <w:bookmarkStart w:id="28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docs/specs/mvp/specification.V4.md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28"/>
    <w:bookmarkEnd w:id="29"/>
    <w:bookmarkStart w:id="65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p>
      <w:pPr>
        <w:pStyle w:val="BlockText"/>
      </w:pPr>
      <w:r>
        <w:rPr>
          <w:b/>
          <w:bCs/>
        </w:rPr>
        <w:t xml:space="preserve">Subscribers speak plain natural language — no command syntax.</w:t>
      </w:r>
      <w:r>
        <w:t xml:space="preserve"> </w:t>
      </w:r>
      <w:r>
        <w:t xml:space="preserve">Whichever messenger they use, subscribers do NOT need to learn any command syntax (no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prefix). They send a clear message in their own words and the System determines the intent via a three-tier discipline (command-recognition fast-path → Claude Code intent inference → a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reply-tag-and-ask fallback), never guessing and never ignoring a message. Authoritative contract:</w:t>
      </w:r>
      <w:r>
        <w:t xml:space="preserve"> </w:t>
      </w:r>
      <w:hyperlink r:id="rId30">
        <w:r>
          <w:rPr>
            <w:rStyle w:val="VerbatimChar"/>
          </w:rPr>
          <w:t xml:space="preserve">docs/design/INTENT_RECOGNITION.md</w:t>
        </w:r>
      </w:hyperlink>
      <w:r>
        <w:t xml:space="preserve">; operator-facing detail in</w:t>
      </w:r>
      <w:r>
        <w:t xml:space="preserve"> </w:t>
      </w:r>
      <w:hyperlink r:id="rId31">
        <w:r>
          <w:rPr>
            <w:rStyle w:val="VerbatimChar"/>
          </w:rPr>
          <w:t xml:space="preserve">docs/guides/MESSENGER_CHANNELS.md</w:t>
        </w:r>
      </w:hyperlink>
      <w:r>
        <w:t xml:space="preserve"> </w:t>
      </w:r>
      <w:r>
        <w:t xml:space="preserve">§6B.</w:t>
      </w:r>
    </w:p>
    <w:bookmarkStart w:id="41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41"/>
    <w:bookmarkStart w:id="48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48"/>
    <w:bookmarkStart w:id="57" w:name="per-flavor-operator-guides"/>
    <w:p>
      <w:pPr>
        <w:pStyle w:val="Heading3"/>
      </w:pPr>
      <w:r>
        <w:t xml:space="preserve">Per-flavor operator guides</w:t>
      </w:r>
    </w:p>
    <w:p>
      <w:pPr>
        <w:pStyle w:val="FirstParagraph"/>
      </w:pPr>
      <w:r>
        <w:t xml:space="preserve">Each Herald flavor binary ships with a nano-detail operator reference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, documenting every subcommand the built binary surfaces (</w:t>
      </w:r>
      <w:r>
        <w:rPr>
          <w:rStyle w:val="VerbatimChar"/>
        </w:rPr>
        <w:t xml:space="preserve">&lt;flavor&gt; --help</w:t>
      </w:r>
      <w:r>
        <w:t xml:space="preserve">), the env/credentials each needs, real example invocations, and which subcommands are live vs not-yet-implemented (all anti-bluff — derived from running the actual binary, nothing invented).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Project Herald — the richest flavor: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watch</w:t>
            </w:r>
            <w:r>
              <w:t xml:space="preserve">/</w:t>
            </w:r>
            <w:r>
              <w:rPr>
                <w:rStyle w:val="VerbatimChar"/>
              </w:rPr>
              <w:t xml:space="preserve">migrate</w:t>
            </w:r>
            <w:r>
              <w:t xml:space="preserve">/</w:t>
            </w:r>
            <w:r>
              <w:rPr>
                <w:rStyle w:val="VerbatimChar"/>
              </w:rPr>
              <w:t xml:space="preserve">wizard</w:t>
            </w:r>
            <w:r>
              <w:t xml:space="preserve">/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+ the §43 GitOps commands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docs/guides/PHERALD.md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</w:p>
        </w:tc>
        <w:tc>
          <w:tcPr/>
          <w:p>
            <w:pPr>
              <w:pStyle w:val="Compact"/>
            </w:pPr>
            <w:r>
              <w:t xml:space="preserve">System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/v1/safety_state</w:t>
            </w:r>
            <w:r>
              <w:t xml:space="preserve">) + the host-safety guard commands (</w:t>
            </w:r>
            <w:r>
              <w:rPr>
                <w:rStyle w:val="VerbatimChar"/>
              </w:rPr>
              <w:t xml:space="preserve">destructive-guard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backup-snapshot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docs/guides/SHERALD.md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</w:p>
        </w:tc>
        <w:tc>
          <w:tcPr/>
          <w:p>
            <w:pPr>
              <w:pStyle w:val="Compact"/>
            </w:pPr>
            <w:r>
              <w:t xml:space="preserve">Constitution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/v1/compliance</w:t>
            </w:r>
            <w:r>
              <w:t xml:space="preserve">) + the §11.4 compliance-check catalogue (</w:t>
            </w:r>
            <w:r>
              <w:rPr>
                <w:rStyle w:val="VerbatimChar"/>
              </w:rPr>
              <w:t xml:space="preserve">creds-scan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docs/guides/CHERALD.md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</w:p>
        </w:tc>
        <w:tc>
          <w:tcPr/>
          <w:p>
            <w:pPr>
              <w:pStyle w:val="Compact"/>
            </w:pPr>
            <w:r>
              <w:t xml:space="preserve">Build Herald — CLI-only CI/test gates: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(§11.4.2) +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(§40.2 8-tier matrix);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not-yet-implemented (HRD-045)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docs/guides/BHERALD.md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</w:p>
        </w:tc>
        <w:tc>
          <w:tcPr/>
          <w:p>
            <w:pPr>
              <w:pStyle w:val="Compact"/>
            </w:pPr>
            <w:r>
              <w:t xml:space="preserve">Release Herald — CLI-only release path: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(§5),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cross-mirror parity),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retest)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docs/guides/RHERALD.md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</w:p>
        </w:tc>
        <w:tc>
          <w:tcPr/>
          <w:p>
            <w:pPr>
              <w:pStyle w:val="Compact"/>
            </w:pPr>
            <w:r>
              <w:t xml:space="preserve">Incident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is a LIVE JWT-gated escalation handler (drives the bindings Pipeline → emits the escalation CloudEvent → 202 + Receipt; third-party pager egress is a follow-up subscriber)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docs/guides/IHERALD.md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</w:p>
        </w:tc>
        <w:tc>
          <w:tcPr/>
          <w:p>
            <w:pPr>
              <w:pStyle w:val="Compact"/>
            </w:pPr>
            <w:r>
              <w:t xml:space="preserve">Status-Check Herald — CLI-only</w:t>
            </w:r>
            <w:r>
              <w:t xml:space="preserve"> </w:t>
            </w:r>
            <w:r>
              <w:rPr>
                <w:rStyle w:val="VerbatimChar"/>
              </w:rPr>
              <w:t xml:space="preserve">status-digest</w:t>
            </w:r>
            <w:r>
              <w:t xml:space="preserve"> </w:t>
            </w:r>
            <w:r>
              <w:t xml:space="preserve">(§11.4.45 rollup)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docs/guides/SCHERALD.md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</w:t>
            </w:r>
          </w:p>
        </w:tc>
        <w:tc>
          <w:tcPr/>
          <w:p>
            <w:pPr>
              <w:pStyle w:val="Compact"/>
            </w:pPr>
            <w:r>
              <w:t xml:space="preserve">QA Herald — Herald's autonomous QA bot: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(scenario harness → docs/qa evidence),</w:t>
            </w:r>
            <w:r>
              <w:t xml:space="preserve"> </w:t>
            </w:r>
            <w:r>
              <w:rPr>
                <w:rStyle w:val="VerbatimChar"/>
              </w:rPr>
              <w:t xml:space="preserve">mtproto</w:t>
            </w:r>
            <w:r>
              <w:t xml:space="preserve"> </w:t>
            </w:r>
            <w:r>
              <w:t xml:space="preserve">session lifecycle (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lifecycle</w:t>
            </w:r>
            <w:r>
              <w:t xml:space="preserve"> </w:t>
            </w:r>
            <w:r>
              <w:t xml:space="preserve">(15-scenario driver, SKELETON)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VerbatimChar"/>
                </w:rPr>
                <w:t xml:space="preserve">docs/guides/QAHERALD.md</w:t>
              </w:r>
            </w:hyperlink>
          </w:p>
        </w:tc>
      </w:tr>
    </w:tbl>
    <w:bookmarkEnd w:id="57"/>
    <w:bookmarkStart w:id="61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58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operator env var (e.g.</w:t>
      </w:r>
      <w:r>
        <w:t xml:space="preserve"> </w:t>
      </w:r>
      <w:r>
        <w:rPr>
          <w:rStyle w:val="VerbatimChar"/>
        </w:rPr>
        <w:t xml:space="preserve">HERALD_TGRAM_OPERATOR_USERNAME=@milos85vasic</w:t>
      </w:r>
      <w:r>
        <w:t xml:space="preserve">) that drives workable-item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attribution + notification @-tagging — authoritative contract</w:t>
      </w:r>
      <w:r>
        <w:t xml:space="preserve"> </w:t>
      </w:r>
      <w:hyperlink r:id="rId59">
        <w:r>
          <w:rPr>
            <w:rStyle w:val="VerbatimChar"/>
          </w:rPr>
          <w:t xml:space="preserve">docs/design/PARTICIPANT_ATTRIBUTION.md</w:t>
        </w:r>
      </w:hyperlink>
      <w:r>
        <w:t xml:space="preserve">, full behaviour in</w:t>
      </w:r>
      <w:r>
        <w:t xml:space="preserve"> </w:t>
      </w:r>
      <w:hyperlink r:id="rId60">
        <w:r>
          <w:rPr>
            <w:rStyle w:val="VerbatimChar"/>
          </w:rPr>
          <w:t xml:space="preserve">docs/guides/WORKABLE_ITEMS_INTEGRATION.md</w:t>
        </w:r>
      </w:hyperlink>
      <w:r>
        <w:t xml:space="preserve"> </w:t>
      </w:r>
      <w:r>
        <w:t xml:space="preserve">§3.6–§3.8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61"/>
    <w:bookmarkStart w:id="64" w:name="X2d57ec4c52902418777a57d1b6587fe0de5df6e"/>
    <w:p>
      <w:pPr>
        <w:pStyle w:val="Heading3"/>
      </w:pPr>
      <w:r>
        <w:t xml:space="preserve">Active blockers — operator action required</w:t>
      </w:r>
    </w:p>
    <w:p>
      <w:pPr>
        <w:pStyle w:val="FirstParagraph"/>
      </w:pPr>
      <w:hyperlink r:id="rId62">
        <w:r>
          <w:rPr>
            <w:rStyle w:val="VerbatimChar"/>
          </w:rPr>
          <w:t xml:space="preserve">docs/requirements/blockers/missing_env_variables.md</w:t>
        </w:r>
      </w:hyperlink>
      <w:r>
        <w:t xml:space="preserve"> </w:t>
      </w:r>
      <w:r>
        <w:t xml:space="preserve">— the step-by-step MTProto credential setup the operator must complete to unblock Wave 8 Track B (the full-automation rewrite of</w:t>
      </w:r>
      <w:r>
        <w:t xml:space="preserve"> 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and Wave 6.5 lifecycle scenarios per HelixConstitution §11.4.98 + Herald §108.m). Available in Markdown / HTML / PDF / DOCX.</w:t>
      </w:r>
      <w:r>
        <w:t xml:space="preserve"> </w:t>
      </w:r>
      <w:r>
        <w:rPr>
          <w:b/>
          <w:bCs/>
        </w:rPr>
        <w:t xml:space="preserve">Required for §11.4.98 compliance — release-gate item.</w:t>
      </w:r>
    </w:p>
    <w:p>
      <w:pPr>
        <w:pStyle w:val="BodyText"/>
      </w:pPr>
      <w:hyperlink r:id="rId63">
        <w:r>
          <w:rPr>
            <w:rStyle w:val="VerbatimChar"/>
          </w:rPr>
          <w:t xml:space="preserve">docs/audits/full-automation-114-98-audit-2026-05-28.md</w:t>
        </w:r>
      </w:hyperlink>
      <w:r>
        <w:t xml:space="preserve"> </w:t>
      </w:r>
      <w:r>
        <w:t xml:space="preserve">— the canonical classification of every Herald test against §11.4.98 (794 tests audited: 758 COMPLIANT-hermetic, 32 COMPLIANT-with-creds-bootstrap, 4 NON-COMPLIANT-manual-dep, 1 STRUCTURALLY-BROKEN). NON-COMPLIANT items have until 2026-06-27 (T+30 days) to be rewritten before graduating to §11.4.90 Obsolete.</w:t>
      </w:r>
    </w:p>
    <w:bookmarkEnd w:id="64"/>
    <w:bookmarkEnd w:id="65"/>
    <w:bookmarkStart w:id="66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66"/>
    <w:bookmarkStart w:id="68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67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68"/>
    <w:bookmarkStart w:id="69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p>
      <w:r>
        <w:pict>
          <v:rect style="width:0;height:1.5pt" o:hralign="center" o:hrstd="t" o:hr="t"/>
        </w:pict>
      </w:r>
    </w:p>
    <w:bookmarkEnd w:id="69"/>
    <w:bookmarkStart w:id="73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This README is a gateway document — the substantive operator-facing instructions live in the per-channel / per-dispatcher guides linked above. Each linked guide carries its own</w:t>
      </w:r>
      <w:r>
        <w:t xml:space="preserve"> </w:t>
      </w:r>
      <w:r>
        <w:rPr>
          <w:rStyle w:val="VerbatimChar"/>
        </w:rPr>
        <w:t xml:space="preserve">## Sources verified</w:t>
      </w:r>
      <w:r>
        <w:t xml:space="preserve"> </w:t>
      </w:r>
      <w:r>
        <w:t xml:space="preserve">footer covering the external services it documents. The cross-references below cover the external claims this README makes directly.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https://github.com/HelixDevelopment/HelixConstitution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§"Governance" (constitution authority + canonical URL); §"Quickstart" step 1 (clone-alongside command); §"Inherited invariants" list (§11.4 anti-bluff, §1.1 paired mutations, §11.4.6 no-guessing language, §11.4.10 credentials-never-tracked, §2.1 multi-upstream push, §9 hardlinked-backup).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§"Messengers" table — Telegram channel status (LIVE — HRD-011 + HRD-100). The substantive setup steps are in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docs/guides/messengers/TELEGRAM.md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71">
              <w:r>
                <w:rPr>
                  <w:rStyle w:val="VerbatimChar"/>
                </w:rPr>
                <w:t xml:space="preserve">docs/guides/TELEGRAM.md</w:t>
              </w:r>
            </w:hyperlink>
            <w:r>
              <w:t xml:space="preserve"> </w:t>
            </w:r>
            <w:r>
              <w:t xml:space="preserve">which carry their own §11.4.99 footers.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§"LLM / agent dispatchers" table — Claude Code status (LIVE — HRD-012 Fixed). The substantive setup steps are in</w:t>
            </w:r>
            <w:r>
              <w:t xml:space="preserve"> </w:t>
            </w:r>
            <w:hyperlink r:id="rId42">
              <w:r>
                <w:rPr>
                  <w:rStyle w:val="VerbatimChar"/>
                </w:rPr>
                <w:t xml:space="preserve">docs/guides/dispatchers/CLAUDE_CODE.md</w:t>
              </w:r>
            </w:hyperlink>
            <w:r>
              <w:t xml:space="preserve"> </w:t>
            </w:r>
            <w:r>
              <w:t xml:space="preserve">which carries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active blockers — MTProto credential setup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docs/requirements/blockers/missing_env_variables.md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§"Active blockers" link target — that document carries the canonical Telegram-userbot safety walkthrough (the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pre-login email; no VoIP / Google Voice / Twilio / TextNow numbers; one phone = one</w:t>
            </w:r>
            <w:r>
              <w:t xml:space="preserve"> </w:t>
            </w:r>
            <w:r>
              <w:rPr>
                <w:rStyle w:val="VerbatimChar"/>
              </w:rPr>
              <w:t xml:space="preserve">api_id</w:t>
            </w:r>
            <w:r>
              <w:t xml:space="preserve"> </w:t>
            </w:r>
            <w:r>
              <w:t xml:space="preserve">forever; Short-name STRICTLY alphanumeric — underscores REJECTED; ratelimit + floodwait middlewares) with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(source of truth)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docs/specs/mvp/specification.V4.md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§"Status" claims about Herald implementation maturity; §"Mission" canonical statement; §"Repository layout"; the V1→V2→V3 supersession chain. The spec itself carries its own §11.4.99 footer covering the external service contracts its design decisions depend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This README does not contain operator-actionable external-service instructions directly — those are in the linked guides, each with its own cadence. README-level re-verification is</w:t>
      </w:r>
      <w:r>
        <w:t xml:space="preserve"> </w:t>
      </w:r>
      <w:r>
        <w:rPr>
          <w:b/>
          <w:bCs/>
        </w:rPr>
        <w:t xml:space="preserve">on Herald structural changes</w:t>
      </w:r>
      <w:r>
        <w:t xml:space="preserve"> </w:t>
      </w:r>
      <w:r>
        <w:t xml:space="preserve">(repo-layout changes, new flavors, new mirror hosts, new linked guides) — no time-bound staleness. Linked guides MUST be kept current per their own footers.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7" Target="LICENSE" TargetMode="External" /><Relationship Type="http://schemas.openxmlformats.org/officeDocument/2006/relationships/hyperlink" Id="rId63" Target="docs/audits/full-automation-114-98-audit-2026-05-28.md" TargetMode="External" /><Relationship Type="http://schemas.openxmlformats.org/officeDocument/2006/relationships/hyperlink" Id="rId30" Target="docs/design/INTENT_RECOGNITION.md" TargetMode="External" /><Relationship Type="http://schemas.openxmlformats.org/officeDocument/2006/relationships/hyperlink" Id="rId59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2" Target="docs/guides/BHERALD.md" TargetMode="External" /><Relationship Type="http://schemas.openxmlformats.org/officeDocument/2006/relationships/hyperlink" Id="rId51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4" Target="docs/guides/IHERALD.md" TargetMode="External" /><Relationship Type="http://schemas.openxmlformats.org/officeDocument/2006/relationships/hyperlink" Id="rId31" Target="docs/guides/MESSENGER_CHANNELS.md" TargetMode="External" /><Relationship Type="http://schemas.openxmlformats.org/officeDocument/2006/relationships/hyperlink" Id="rId58" Target="docs/guides/OPERATOR_CREDENTIALS.md" TargetMode="External" /><Relationship Type="http://schemas.openxmlformats.org/officeDocument/2006/relationships/hyperlink" Id="rId49" Target="docs/guides/PHERALD.md" TargetMode="External" /><Relationship Type="http://schemas.openxmlformats.org/officeDocument/2006/relationships/hyperlink" Id="rId56" Target="docs/guides/QAHERALD.md" TargetMode="External" /><Relationship Type="http://schemas.openxmlformats.org/officeDocument/2006/relationships/hyperlink" Id="rId53" Target="docs/guides/RHERALD.md" TargetMode="External" /><Relationship Type="http://schemas.openxmlformats.org/officeDocument/2006/relationships/hyperlink" Id="rId55" Target="docs/guides/SCHERALD.md" TargetMode="External" /><Relationship Type="http://schemas.openxmlformats.org/officeDocument/2006/relationships/hyperlink" Id="rId50" Target="docs/guides/SHERALD.md" TargetMode="External" /><Relationship Type="http://schemas.openxmlformats.org/officeDocument/2006/relationships/hyperlink" Id="rId71" Target="docs/guides/TELEGRAM.md" TargetMode="External" /><Relationship Type="http://schemas.openxmlformats.org/officeDocument/2006/relationships/hyperlink" Id="rId60" Target="docs/guides/WORKABLE_ITEMS_INTEGRATION.md" TargetMode="External" /><Relationship Type="http://schemas.openxmlformats.org/officeDocument/2006/relationships/hyperlink" Id="rId44" Target="docs/guides/dispatchers/AIDER.md" TargetMode="External" /><Relationship Type="http://schemas.openxmlformats.org/officeDocument/2006/relationships/hyperlink" Id="rId47" Target="docs/guides/dispatchers/ANTHROPIC.md" TargetMode="External" /><Relationship Type="http://schemas.openxmlformats.org/officeDocument/2006/relationships/hyperlink" Id="rId42" Target="docs/guides/dispatchers/CLAUDE_CODE.md" TargetMode="External" /><Relationship Type="http://schemas.openxmlformats.org/officeDocument/2006/relationships/hyperlink" Id="rId46" Target="docs/guides/dispatchers/CURSOR.md" TargetMode="External" /><Relationship Type="http://schemas.openxmlformats.org/officeDocument/2006/relationships/hyperlink" Id="rId45" Target="docs/guides/dispatchers/GEMINI.md" TargetMode="External" /><Relationship Type="http://schemas.openxmlformats.org/officeDocument/2006/relationships/hyperlink" Id="rId43" Target="docs/guides/dispatchers/OPENCODE.md" TargetMode="External" /><Relationship Type="http://schemas.openxmlformats.org/officeDocument/2006/relationships/hyperlink" Id="rId38" Target="docs/guides/messengers/DISCORD.md" TargetMode="External" /><Relationship Type="http://schemas.openxmlformats.org/officeDocument/2006/relationships/hyperlink" Id="rId34" Target="docs/guides/messengers/EMAIL.md" TargetMode="External" /><Relationship Type="http://schemas.openxmlformats.org/officeDocument/2006/relationships/hyperlink" Id="rId37" Target="docs/guides/messengers/LARK.md" TargetMode="External" /><Relationship Type="http://schemas.openxmlformats.org/officeDocument/2006/relationships/hyperlink" Id="rId35" Target="docs/guides/messengers/MAX.md" TargetMode="External" /><Relationship Type="http://schemas.openxmlformats.org/officeDocument/2006/relationships/hyperlink" Id="rId33" Target="docs/guides/messengers/SLACK.md" TargetMode="External" /><Relationship Type="http://schemas.openxmlformats.org/officeDocument/2006/relationships/hyperlink" Id="rId36" Target="docs/guides/messengers/TEAMS.md" TargetMode="External" /><Relationship Type="http://schemas.openxmlformats.org/officeDocument/2006/relationships/hyperlink" Id="rId32" Target="docs/guides/messengers/TELEGRAM.md" TargetMode="External" /><Relationship Type="http://schemas.openxmlformats.org/officeDocument/2006/relationships/hyperlink" Id="rId40" Target="docs/guides/messengers/VIBER.md" TargetMode="External" /><Relationship Type="http://schemas.openxmlformats.org/officeDocument/2006/relationships/hyperlink" Id="rId39" Target="docs/guides/messengers/WHATSAPP.md" TargetMode="External" /><Relationship Type="http://schemas.openxmlformats.org/officeDocument/2006/relationships/hyperlink" Id="rId62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4.md" TargetMode="External" /><Relationship Type="http://schemas.openxmlformats.org/officeDocument/2006/relationships/hyperlink" Id="rId70" Target="https://core.telegram.org/bots/api" TargetMode="External" /><Relationship Type="http://schemas.openxmlformats.org/officeDocument/2006/relationships/hyperlink" Id="rId72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7" Target="LICENSE" TargetMode="External" /><Relationship Type="http://schemas.openxmlformats.org/officeDocument/2006/relationships/hyperlink" Id="rId63" Target="docs/audits/full-automation-114-98-audit-2026-05-28.md" TargetMode="External" /><Relationship Type="http://schemas.openxmlformats.org/officeDocument/2006/relationships/hyperlink" Id="rId30" Target="docs/design/INTENT_RECOGNITION.md" TargetMode="External" /><Relationship Type="http://schemas.openxmlformats.org/officeDocument/2006/relationships/hyperlink" Id="rId59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2" Target="docs/guides/BHERALD.md" TargetMode="External" /><Relationship Type="http://schemas.openxmlformats.org/officeDocument/2006/relationships/hyperlink" Id="rId51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4" Target="docs/guides/IHERALD.md" TargetMode="External" /><Relationship Type="http://schemas.openxmlformats.org/officeDocument/2006/relationships/hyperlink" Id="rId31" Target="docs/guides/MESSENGER_CHANNELS.md" TargetMode="External" /><Relationship Type="http://schemas.openxmlformats.org/officeDocument/2006/relationships/hyperlink" Id="rId58" Target="docs/guides/OPERATOR_CREDENTIALS.md" TargetMode="External" /><Relationship Type="http://schemas.openxmlformats.org/officeDocument/2006/relationships/hyperlink" Id="rId49" Target="docs/guides/PHERALD.md" TargetMode="External" /><Relationship Type="http://schemas.openxmlformats.org/officeDocument/2006/relationships/hyperlink" Id="rId56" Target="docs/guides/QAHERALD.md" TargetMode="External" /><Relationship Type="http://schemas.openxmlformats.org/officeDocument/2006/relationships/hyperlink" Id="rId53" Target="docs/guides/RHERALD.md" TargetMode="External" /><Relationship Type="http://schemas.openxmlformats.org/officeDocument/2006/relationships/hyperlink" Id="rId55" Target="docs/guides/SCHERALD.md" TargetMode="External" /><Relationship Type="http://schemas.openxmlformats.org/officeDocument/2006/relationships/hyperlink" Id="rId50" Target="docs/guides/SHERALD.md" TargetMode="External" /><Relationship Type="http://schemas.openxmlformats.org/officeDocument/2006/relationships/hyperlink" Id="rId71" Target="docs/guides/TELEGRAM.md" TargetMode="External" /><Relationship Type="http://schemas.openxmlformats.org/officeDocument/2006/relationships/hyperlink" Id="rId60" Target="docs/guides/WORKABLE_ITEMS_INTEGRATION.md" TargetMode="External" /><Relationship Type="http://schemas.openxmlformats.org/officeDocument/2006/relationships/hyperlink" Id="rId44" Target="docs/guides/dispatchers/AIDER.md" TargetMode="External" /><Relationship Type="http://schemas.openxmlformats.org/officeDocument/2006/relationships/hyperlink" Id="rId47" Target="docs/guides/dispatchers/ANTHROPIC.md" TargetMode="External" /><Relationship Type="http://schemas.openxmlformats.org/officeDocument/2006/relationships/hyperlink" Id="rId42" Target="docs/guides/dispatchers/CLAUDE_CODE.md" TargetMode="External" /><Relationship Type="http://schemas.openxmlformats.org/officeDocument/2006/relationships/hyperlink" Id="rId46" Target="docs/guides/dispatchers/CURSOR.md" TargetMode="External" /><Relationship Type="http://schemas.openxmlformats.org/officeDocument/2006/relationships/hyperlink" Id="rId45" Target="docs/guides/dispatchers/GEMINI.md" TargetMode="External" /><Relationship Type="http://schemas.openxmlformats.org/officeDocument/2006/relationships/hyperlink" Id="rId43" Target="docs/guides/dispatchers/OPENCODE.md" TargetMode="External" /><Relationship Type="http://schemas.openxmlformats.org/officeDocument/2006/relationships/hyperlink" Id="rId38" Target="docs/guides/messengers/DISCORD.md" TargetMode="External" /><Relationship Type="http://schemas.openxmlformats.org/officeDocument/2006/relationships/hyperlink" Id="rId34" Target="docs/guides/messengers/EMAIL.md" TargetMode="External" /><Relationship Type="http://schemas.openxmlformats.org/officeDocument/2006/relationships/hyperlink" Id="rId37" Target="docs/guides/messengers/LARK.md" TargetMode="External" /><Relationship Type="http://schemas.openxmlformats.org/officeDocument/2006/relationships/hyperlink" Id="rId35" Target="docs/guides/messengers/MAX.md" TargetMode="External" /><Relationship Type="http://schemas.openxmlformats.org/officeDocument/2006/relationships/hyperlink" Id="rId33" Target="docs/guides/messengers/SLACK.md" TargetMode="External" /><Relationship Type="http://schemas.openxmlformats.org/officeDocument/2006/relationships/hyperlink" Id="rId36" Target="docs/guides/messengers/TEAMS.md" TargetMode="External" /><Relationship Type="http://schemas.openxmlformats.org/officeDocument/2006/relationships/hyperlink" Id="rId32" Target="docs/guides/messengers/TELEGRAM.md" TargetMode="External" /><Relationship Type="http://schemas.openxmlformats.org/officeDocument/2006/relationships/hyperlink" Id="rId40" Target="docs/guides/messengers/VIBER.md" TargetMode="External" /><Relationship Type="http://schemas.openxmlformats.org/officeDocument/2006/relationships/hyperlink" Id="rId39" Target="docs/guides/messengers/WHATSAPP.md" TargetMode="External" /><Relationship Type="http://schemas.openxmlformats.org/officeDocument/2006/relationships/hyperlink" Id="rId62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4.md" TargetMode="External" /><Relationship Type="http://schemas.openxmlformats.org/officeDocument/2006/relationships/hyperlink" Id="rId70" Target="https://core.telegram.org/bots/api" TargetMode="External" /><Relationship Type="http://schemas.openxmlformats.org/officeDocument/2006/relationships/hyperlink" Id="rId72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2026-05-31T07:12:25Z</dcterms:created>
  <dcterms:modified xsi:type="dcterms:W3CDTF">2026-05-31T07:12:25Z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