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4"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a §5 mention + doc-link that subscribers speak plain natural language (no command syntax) and the System determines intent via the three-tier discipline (command-recognition fast-path → Claude Code intent inference →</w:t>
            </w:r>
            <w:r>
              <w:t xml:space="preserve"> </w:t>
            </w:r>
            <w:r>
              <w:rPr>
                <w:rStyle w:val="VerbatimChar"/>
              </w:rPr>
              <w:t xml:space="preserve">clarify</w:t>
            </w:r>
            <w:r>
              <w:t xml:space="preserve"> </w:t>
            </w:r>
            <w:r>
              <w:t xml:space="preserve">reply-tag-and-ask fallback), never guessing / never ignoring — authoritative contract</w:t>
            </w:r>
            <w:r>
              <w:t xml:space="preserve"> </w:t>
            </w:r>
            <w:r>
              <w:rPr>
                <w:rStyle w:val="VerbatimChar"/>
              </w:rPr>
              <w:t xml:space="preserve">docs/design/INTENT_RECOGNITION.md</w:t>
            </w:r>
            <w:r>
              <w:t xml:space="preserve">, detail in</w:t>
            </w:r>
            <w:r>
              <w:t xml:space="preserve"> </w:t>
            </w:r>
            <w:r>
              <w:rPr>
                <w:rStyle w:val="VerbatimChar"/>
              </w:rPr>
              <w:t xml:space="preserve">MESSENGER_CHANNELS.md</w:t>
            </w:r>
            <w:r>
              <w:t xml:space="preserve"> </w:t>
            </w:r>
            <w:r>
              <w:t xml:space="preserve">§6B +</w:t>
            </w:r>
            <w:r>
              <w:t xml:space="preserve"> </w:t>
            </w:r>
            <w:r>
              <w:rPr>
                <w:rStyle w:val="VerbatimChar"/>
              </w:rPr>
              <w:t xml:space="preserve">PHERALD.md</w:t>
            </w:r>
            <w:r>
              <w:t xml:space="preserve"> </w:t>
            </w:r>
            <w:r>
              <w:t xml:space="preserve">§5. Prior r2: added a §5 mention + doc-link for the</w:t>
            </w:r>
            <w:r>
              <w:t xml:space="preserve"> </w:t>
            </w:r>
            <w:r>
              <w:rPr>
                <w:rStyle w:val="VerbatimChar"/>
              </w:rPr>
              <w:t xml:space="preserve">HERALD_&lt;CHANNEL&gt;_OPERATOR_USERNAME</w:t>
            </w:r>
            <w:r>
              <w:t xml:space="preserve"> </w:t>
            </w:r>
            <w:r>
              <w:t xml:space="preserve">operator env var and the participant/attribution contract (</w:t>
            </w:r>
            <w:r>
              <w:rPr>
                <w:rStyle w:val="VerbatimChar"/>
              </w:rPr>
              <w:t xml:space="preserve">docs/design/PARTICIPANT_ATTRIBUTION.md</w:t>
            </w:r>
            <w:r>
              <w:t xml:space="preserve">) driving</w:t>
            </w:r>
            <w:r>
              <w:t xml:space="preserve"> </w:t>
            </w:r>
            <w:r>
              <w:rPr>
                <w:rStyle w:val="VerbatimChar"/>
              </w:rPr>
              <w:t xml:space="preserve">created_by</w:t>
            </w:r>
            <w:r>
              <w:t xml:space="preserve">/</w:t>
            </w:r>
            <w:r>
              <w:rPr>
                <w:rStyle w:val="VerbatimChar"/>
              </w:rPr>
              <w:t xml:space="preserve">assigned_to</w:t>
            </w:r>
            <w:r>
              <w:t xml:space="preserve"> </w:t>
            </w:r>
            <w:r>
              <w:t xml:space="preserve">attribution + notification @-tagging. 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9"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b80019af4b0278a28ad9873c084254318a412e6">
        <w:r>
          <w:rPr>
            <w:rStyle w:val="Hyperlink"/>
          </w:rPr>
          <w:t xml:space="preserve">§10. The other flavors (sherald, cherald, iherald, bherald, rherald, scherald, qaherald)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9"/>
    <w:bookmarkStart w:id="10"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eight flavor binaries</w:t>
      </w:r>
      <w:r>
        <w:t xml:space="preserve"> </w:t>
      </w:r>
      <w:r>
        <w:t xml:space="preserve">(Wave 2 r1 seeded six;</w:t>
      </w:r>
      <w:r>
        <w:t xml:space="preserve"> </w:t>
      </w:r>
      <w:r>
        <w:rPr>
          <w:rStyle w:val="VerbatimChar"/>
        </w:rPr>
        <w:t xml:space="preserve">qaherald</w:t>
      </w:r>
      <w:r>
        <w:t xml:space="preserve"> </w:t>
      </w:r>
      <w:r>
        <w:t xml:space="preserve">added Wave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is LIVE (HRD-024): JWT-gated, drives the escalation bindings Pipeline → emits the</w:t>
            </w:r>
            <w:r>
              <w:t xml:space="preserve"> </w:t>
            </w:r>
            <w:r>
              <w:rPr>
                <w:rStyle w:val="VerbatimChar"/>
              </w:rPr>
              <w:t xml:space="preserve">.credential.leak</w:t>
            </w:r>
            <w:r>
              <w:t xml:space="preserve">/</w:t>
            </w:r>
            <w:r>
              <w:rPr>
                <w:rStyle w:val="VerbatimChar"/>
              </w:rPr>
              <w:t xml:space="preserve">.policy.violation</w:t>
            </w:r>
            <w:r>
              <w:t xml:space="preserve"> </w:t>
            </w:r>
            <w:r>
              <w:t xml:space="preserve">CloudEvent + persists state/audit → 202 + Receipt. Third-party pager egress (PagerDuty/Opsgenie) is a follow-up subscriber.</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r>
        <w:tc>
          <w:tcPr/>
          <w:p>
            <w:pPr>
              <w:pStyle w:val="Compact"/>
            </w:pPr>
            <w:r>
              <w:rPr>
                <w:rStyle w:val="VerbatimChar"/>
              </w:rPr>
              <w:t xml:space="preserve">qaherald</w:t>
            </w:r>
          </w:p>
        </w:tc>
        <w:tc>
          <w:tcPr/>
          <w:p>
            <w:pPr>
              <w:pStyle w:val="Compact"/>
            </w:pPr>
            <w:r>
              <w:t xml:space="preserve">— (CLI-only)</w:t>
            </w:r>
          </w:p>
        </w:tc>
        <w:tc>
          <w:tcPr/>
          <w:p>
            <w:pPr>
              <w:pStyle w:val="Compact"/>
            </w:pPr>
            <w:r>
              <w:rPr>
                <w:b/>
                <w:bCs/>
              </w:rPr>
              <w:t xml:space="preserve">QA Herald</w:t>
            </w:r>
            <w:r>
              <w:t xml:space="preserve"> </w:t>
            </w:r>
            <w:r>
              <w:t xml:space="preserve">— autonomous QA bot: drives pherald ↔ Telegram round-trips (MTProto user-client) and preserves the full bidirectional transcript under</w:t>
            </w:r>
            <w:r>
              <w:t xml:space="preserve"> </w:t>
            </w:r>
            <w:r>
              <w:rPr>
                <w:rStyle w:val="VerbatimChar"/>
              </w:rPr>
              <w:t xml:space="preserve">docs/qa/</w:t>
            </w:r>
            <w:r>
              <w:t xml:space="preserve"> </w:t>
            </w:r>
            <w:r>
              <w:t xml:space="preserve">per §107.x.</w:t>
            </w:r>
          </w:p>
        </w:tc>
      </w:tr>
    </w:tbl>
    <w:p>
      <w:pPr>
        <w:pStyle w:val="BodyText"/>
      </w:pPr>
      <w:r>
        <w:t xml:space="preserve">The eight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0"/>
    <w:bookmarkStart w:id="11"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w:t>
            </w:r>
            <w:r>
              <w:t xml:space="preserve"> </w:t>
            </w:r>
            <w:r>
              <w:rPr>
                <w:rStyle w:val="VerbatimChar"/>
              </w:rPr>
              <w:t xml:space="preserve">task_resource_snapshots</w:t>
            </w:r>
            <w:r>
              <w:t xml:space="preserve">,</w:t>
            </w:r>
            <w:r>
              <w:t xml:space="preserve"> </w:t>
            </w:r>
            <w:r>
              <w:rPr>
                <w:rStyle w:val="VerbatimChar"/>
              </w:rPr>
              <w:t xml:space="preserve">dead_letter_tasks</w:t>
            </w:r>
            <w:r>
              <w:t xml:space="preserve"> </w:t>
            </w:r>
            <w:r>
              <w:t xml:space="preserve">tables — see migrations</w:t>
            </w:r>
            <w:r>
              <w:t xml:space="preserve"> </w:t>
            </w:r>
            <w:r>
              <w:rPr>
                <w:rStyle w:val="VerbatimChar"/>
              </w:rPr>
              <w:t xml:space="preserve">000001..000014</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1"/>
    <w:bookmarkStart w:id="12"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18 modules: 10 shared/foundation modules —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plus 8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2"/>
    <w:bookmarkStart w:id="13"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3"/>
    <w:bookmarkStart w:id="20"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pPr>
        <w:pStyle w:val="BodyText"/>
      </w:pPr>
      <w:r>
        <w:rPr>
          <w:b/>
          <w:bCs/>
        </w:rPr>
        <w:t xml:space="preserve">Operator identity for attribution + @-tagging.</w:t>
      </w:r>
      <w:r>
        <w:t xml:space="preserve"> </w:t>
      </w:r>
      <w:r>
        <w:t xml:space="preserve">Set</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generalizes to</w:t>
      </w:r>
      <w:r>
        <w:t xml:space="preserve"> </w:t>
      </w:r>
      <w:r>
        <w:rPr>
          <w:rStyle w:val="VerbatimChar"/>
        </w:rPr>
        <w:t xml:space="preserve">HERALD_&lt;CHANNEL&gt;_OPERATOR_USERNAME</w:t>
      </w:r>
      <w:r>
        <w:t xml:space="preserve">) to designate yourself as the operator. It drives workable-item</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notification @-tagging matrix (the operator and the</w:t>
      </w:r>
      <w:r>
        <w:t xml:space="preserve"> </w:t>
      </w:r>
      <w:r>
        <w:rPr>
          <w:rStyle w:val="VerbatimChar"/>
        </w:rPr>
        <w:t xml:space="preserve">Claude</w:t>
      </w:r>
      <w:r>
        <w:t xml:space="preserve"> </w:t>
      </w:r>
      <w:r>
        <w:t xml:space="preserve">system agent are never tagged). Authoritative contract:</w:t>
      </w:r>
      <w:r>
        <w:t xml:space="preserve"> </w:t>
      </w:r>
      <w:hyperlink r:id="rId14">
        <w:r>
          <w:rPr>
            <w:rStyle w:val="VerbatimChar"/>
          </w:rPr>
          <w:t xml:space="preserve">docs/design/PARTICIPANT_ATTRIBUTION.md</w:t>
        </w:r>
      </w:hyperlink>
      <w:r>
        <w:t xml:space="preserve">; operator setup in</w:t>
      </w:r>
      <w:r>
        <w:t xml:space="preserve"> </w:t>
      </w:r>
      <w:hyperlink r:id="rId15">
        <w:r>
          <w:rPr>
            <w:rStyle w:val="VerbatimChar"/>
          </w:rPr>
          <w:t xml:space="preserve">docs/guides/OPERATOR_CREDENTIALS.md</w:t>
        </w:r>
      </w:hyperlink>
      <w:r>
        <w:t xml:space="preserve"> </w:t>
      </w:r>
      <w:r>
        <w:t xml:space="preserve">Step 4b; full behaviour in</w:t>
      </w:r>
      <w:r>
        <w:t xml:space="preserve"> </w:t>
      </w:r>
      <w:hyperlink r:id="rId16">
        <w:r>
          <w:rPr>
            <w:rStyle w:val="VerbatimChar"/>
          </w:rPr>
          <w:t xml:space="preserve">docs/guides/WORKABLE_ITEMS_INTEGRATION.md</w:t>
        </w:r>
      </w:hyperlink>
      <w:r>
        <w:t xml:space="preserve"> </w:t>
      </w:r>
      <w:r>
        <w:t xml:space="preserve">§3.6–§3.8.</w:t>
      </w:r>
    </w:p>
    <w:p>
      <w:pPr>
        <w:pStyle w:val="BodyText"/>
      </w:pPr>
      <w:r>
        <w:rPr>
          <w:b/>
          <w:bCs/>
        </w:rPr>
        <w:t xml:space="preserve">Intent recognition — subscribers speak plain natural language.</w:t>
      </w:r>
      <w:r>
        <w:t xml:space="preserve"> </w:t>
      </w:r>
      <w:r>
        <w:t xml:space="preserve">Subscribers writing to a Herald channel (e.g. via</w:t>
      </w:r>
      <w:r>
        <w:t xml:space="preserve"> </w:t>
      </w:r>
      <w:r>
        <w:rPr>
          <w:rStyle w:val="VerbatimChar"/>
        </w:rPr>
        <w:t xml:space="preserve">pherald listen</w:t>
      </w:r>
      <w:r>
        <w:t xml:space="preserve">) do NOT need to know any command syntax (no</w:t>
      </w:r>
      <w:r>
        <w:t xml:space="preserve"> </w:t>
      </w:r>
      <w:r>
        <w:rPr>
          <w:rStyle w:val="VerbatimChar"/>
        </w:rPr>
        <w:t xml:space="preserve">COMMAND:</w:t>
      </w:r>
      <w:r>
        <w:t xml:space="preserve"> </w:t>
      </w:r>
      <w:r>
        <w:t xml:space="preserve">prefix). They send a clear message in their own words and the System determines the intent via a three-tier discipline — a deterministic command-recognition fast-path, then Claude Code intent inference, then a</w:t>
      </w:r>
      <w:r>
        <w:t xml:space="preserve"> </w:t>
      </w:r>
      <w:r>
        <w:rPr>
          <w:rStyle w:val="VerbatimChar"/>
        </w:rPr>
        <w:t xml:space="preserve">clarify</w:t>
      </w:r>
      <w:r>
        <w:t xml:space="preserve"> </w:t>
      </w:r>
      <w:r>
        <w:t xml:space="preserve">fallback that replies, @-tags the sender, and asks a precise clarifying question. The System never guesses an action and never ignores a message. Authoritative contract:</w:t>
      </w:r>
      <w:r>
        <w:t xml:space="preserve"> </w:t>
      </w:r>
      <w:hyperlink r:id="rId17">
        <w:r>
          <w:rPr>
            <w:rStyle w:val="VerbatimChar"/>
          </w:rPr>
          <w:t xml:space="preserve">docs/design/INTENT_RECOGNITION.md</w:t>
        </w:r>
      </w:hyperlink>
      <w:r>
        <w:t xml:space="preserve">; operator-facing detail in</w:t>
      </w:r>
      <w:r>
        <w:t xml:space="preserve"> </w:t>
      </w:r>
      <w:hyperlink r:id="rId18">
        <w:r>
          <w:rPr>
            <w:rStyle w:val="VerbatimChar"/>
          </w:rPr>
          <w:t xml:space="preserve">docs/guides/MESSENGER_CHANNELS.md</w:t>
        </w:r>
      </w:hyperlink>
      <w:r>
        <w:t xml:space="preserve"> </w:t>
      </w:r>
      <w:r>
        <w:t xml:space="preserve">§6B and</w:t>
      </w:r>
      <w:r>
        <w:t xml:space="preserve"> </w:t>
      </w:r>
      <w:hyperlink r:id="rId19">
        <w:r>
          <w:rPr>
            <w:rStyle w:val="VerbatimChar"/>
          </w:rPr>
          <w:t xml:space="preserve">docs/guides/PHERALD.md</w:t>
        </w:r>
      </w:hyperlink>
      <w:r>
        <w:t xml:space="preserve"> </w:t>
      </w:r>
      <w:r>
        <w:t xml:space="preserve">§5.</w:t>
      </w:r>
    </w:p>
    <w:p>
      <w:r>
        <w:pict>
          <v:rect style="width:0;height:1.5pt" o:hralign="center" o:hrstd="t" o:hr="t"/>
        </w:pict>
      </w:r>
    </w:p>
    <w:bookmarkEnd w:id="20"/>
    <w:bookmarkStart w:id="21"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21"/>
    <w:bookmarkStart w:id="22"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22"/>
    <w:bookmarkStart w:id="23"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23"/>
    <w:bookmarkStart w:id="24"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24"/>
    <w:bookmarkStart w:id="32" w:name="Xb80019af4b0278a28ad9873c084254318a412e6"/>
    <w:p>
      <w:pPr>
        <w:pStyle w:val="Heading2"/>
      </w:pPr>
      <w:r>
        <w:t xml:space="preserve">§10. The other flavors (sherald, cherald, iherald, bherald, rherald, scherald, qaherald)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c>
          <w:tcPr/>
          <w:p>
            <w:pPr>
              <w:pStyle w:val="Compact"/>
            </w:pPr>
            <w:r>
              <w:t xml:space="preserve">Operator guide</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c>
          <w:tcPr/>
          <w:p>
            <w:pPr>
              <w:pStyle w:val="Compact"/>
            </w:pPr>
            <w:hyperlink r:id="rId19">
              <w:r>
                <w:rPr>
                  <w:rStyle w:val="VerbatimChar"/>
                </w:rPr>
                <w:t xml:space="preserve">docs/guides/PHERALD.md</w:t>
              </w:r>
            </w:hyperlink>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c>
          <w:tcPr/>
          <w:p>
            <w:pPr>
              <w:pStyle w:val="Compact"/>
            </w:pPr>
            <w:hyperlink r:id="rId25">
              <w:r>
                <w:rPr>
                  <w:rStyle w:val="VerbatimChar"/>
                </w:rPr>
                <w:t xml:space="preserve">docs/guides/SHERALD.md</w:t>
              </w:r>
            </w:hyperlink>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c>
          <w:tcPr/>
          <w:p>
            <w:pPr>
              <w:pStyle w:val="Compact"/>
            </w:pPr>
            <w:hyperlink r:id="rId26">
              <w:r>
                <w:rPr>
                  <w:rStyle w:val="VerbatimChar"/>
                </w:rPr>
                <w:t xml:space="preserve">docs/guides/CHERALD.md</w:t>
              </w:r>
            </w:hyperlink>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(LIVE — JWT-gated escalation handler, HRD-024)</w:t>
            </w:r>
          </w:p>
        </w:tc>
        <w:tc>
          <w:tcPr/>
          <w:p>
            <w:pPr>
              <w:pStyle w:val="Compact"/>
            </w:pPr>
            <w:r>
              <w:t xml:space="preserve">0</w:t>
            </w:r>
          </w:p>
        </w:tc>
        <w:tc>
          <w:tcPr/>
          <w:p>
            <w:pPr>
              <w:pStyle w:val="Compact"/>
            </w:pPr>
            <w:hyperlink r:id="rId27">
              <w:r>
                <w:rPr>
                  <w:rStyle w:val="VerbatimChar"/>
                </w:rPr>
                <w:t xml:space="preserve">docs/guides/IHERALD.md</w:t>
              </w:r>
            </w:hyperlink>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c>
          <w:tcPr/>
          <w:p>
            <w:pPr>
              <w:pStyle w:val="Compact"/>
            </w:pPr>
            <w:hyperlink r:id="rId28">
              <w:r>
                <w:rPr>
                  <w:rStyle w:val="VerbatimChar"/>
                </w:rPr>
                <w:t xml:space="preserve">docs/guides/BHERALD.md</w:t>
              </w:r>
            </w:hyperlink>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c>
          <w:tcPr/>
          <w:p>
            <w:pPr>
              <w:pStyle w:val="Compact"/>
            </w:pPr>
            <w:hyperlink r:id="rId29">
              <w:r>
                <w:rPr>
                  <w:rStyle w:val="VerbatimChar"/>
                </w:rPr>
                <w:t xml:space="preserve">docs/guides/RHERALD.md</w:t>
              </w:r>
            </w:hyperlink>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c>
          <w:tcPr/>
          <w:p>
            <w:pPr>
              <w:pStyle w:val="Compact"/>
            </w:pPr>
            <w:hyperlink r:id="rId30">
              <w:r>
                <w:rPr>
                  <w:rStyle w:val="VerbatimChar"/>
                </w:rPr>
                <w:t xml:space="preserve">docs/guides/SCHERALD.md</w:t>
              </w:r>
            </w:hyperlink>
          </w:p>
        </w:tc>
      </w:tr>
      <w:tr>
        <w:tc>
          <w:tcPr/>
          <w:p>
            <w:pPr>
              <w:pStyle w:val="Compact"/>
            </w:pPr>
            <w:r>
              <w:t xml:space="preserve">qaherald</w:t>
            </w:r>
          </w:p>
        </w:tc>
        <w:tc>
          <w:tcPr/>
          <w:p>
            <w:pPr>
              <w:pStyle w:val="Compact"/>
            </w:pPr>
            <w:r>
              <w:t xml:space="preserve">n/a</w:t>
            </w:r>
          </w:p>
        </w:tc>
        <w:tc>
          <w:tcPr/>
          <w:p>
            <w:pPr>
              <w:pStyle w:val="Compact"/>
            </w:pPr>
            <w:r>
              <w:t xml:space="preserve">(CLI-only — autonomous QA bot)</w:t>
            </w:r>
          </w:p>
        </w:tc>
        <w:tc>
          <w:tcPr/>
          <w:p>
            <w:pPr>
              <w:pStyle w:val="Compact"/>
            </w:pPr>
            <w:r>
              <w:t xml:space="preserve">n/a</w:t>
            </w:r>
          </w:p>
        </w:tc>
        <w:tc>
          <w:tcPr/>
          <w:p>
            <w:pPr>
              <w:pStyle w:val="Compact"/>
            </w:pPr>
            <w:hyperlink r:id="rId31">
              <w:r>
                <w:rPr>
                  <w:rStyle w:val="VerbatimChar"/>
                </w:rPr>
                <w:t xml:space="preserve">docs/guides/QAHERALD.md</w:t>
              </w:r>
            </w:hyperlink>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pPr>
        <w:pStyle w:val="BodyText"/>
      </w:pPr>
      <w:r>
        <w:t xml:space="preserve">Each flavor's</w:t>
      </w:r>
      <w:r>
        <w:t xml:space="preserve"> </w:t>
      </w:r>
      <w:r>
        <w:rPr>
          <w:b/>
          <w:bCs/>
        </w:rPr>
        <w:t xml:space="preserve">operator guide</w:t>
      </w:r>
      <w:r>
        <w:t xml:space="preserve"> </w:t>
      </w:r>
      <w:r>
        <w:t xml:space="preserve">(linked in the table above) is a nano-detail, anti-bluff reference for that binary: every subcommand the built binary actually surfaces (</w:t>
      </w:r>
      <w:r>
        <w:rPr>
          <w:rStyle w:val="VerbatimChar"/>
        </w:rPr>
        <w:t xml:space="preserve">&lt;flavor&gt; --help</w:t>
      </w:r>
      <w:r>
        <w:t xml:space="preserve">), the env/credentials each needs, real example invocations, and a live-vs-not-yet-implemented status per subcommand.</w:t>
      </w:r>
      <w:r>
        <w:t xml:space="preserve"> </w:t>
      </w:r>
      <w:r>
        <w:rPr>
          <w:rStyle w:val="VerbatimChar"/>
        </w:rPr>
        <w:t xml:space="preserve">qaherald</w:t>
      </w:r>
      <w:r>
        <w:t xml:space="preserve"> </w:t>
      </w:r>
      <w:r>
        <w:t xml:space="preserve">is Herald's autonomous QA bot — it drives</w:t>
      </w:r>
      <w:r>
        <w:t xml:space="preserve"> </w:t>
      </w:r>
      <w:r>
        <w:rPr>
          <w:rStyle w:val="VerbatimChar"/>
        </w:rPr>
        <w:t xml:space="preserve">pherald</w:t>
      </w:r>
      <w:r>
        <w:t xml:space="preserve"> </w:t>
      </w:r>
      <w:r>
        <w:t xml:space="preserve">↔ Telegram round-trips via an MTProto user-client session and preserves the full bidirectional transcript under</w:t>
      </w:r>
      <w:r>
        <w:t xml:space="preserve"> </w:t>
      </w:r>
      <w:r>
        <w:rPr>
          <w:rStyle w:val="VerbatimChar"/>
        </w:rPr>
        <w:t xml:space="preserve">docs/qa/</w:t>
      </w:r>
      <w:r>
        <w:t xml:space="preserve"> </w:t>
      </w:r>
      <w:r>
        <w:t xml:space="preserve">(§107.x).</w:t>
      </w:r>
    </w:p>
    <w:p>
      <w:r>
        <w:pict>
          <v:rect style="width:0;height:1.5pt" o:hralign="center" o:hrstd="t" o:hr="t"/>
        </w:pict>
      </w:r>
    </w:p>
    <w:bookmarkEnd w:id="32"/>
    <w:bookmarkStart w:id="33"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33"/>
    <w:bookmarkStart w:id="34"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34"/>
    <w:bookmarkStart w:id="35"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35"/>
    <w:bookmarkStart w:id="36"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Per-flavor operator guides</w:t>
      </w:r>
      <w:r>
        <w:t xml:space="preserve">:</w:t>
      </w:r>
      <w:r>
        <w:t xml:space="preserve"> </w:t>
      </w:r>
      <w:r>
        <w:rPr>
          <w:rStyle w:val="VerbatimChar"/>
        </w:rPr>
        <w:t xml:space="preserve">docs/guides/{PHERALD,SHERALD,CHERALD,BHERALD,RHERALD,IHERALD,SCHERALD,QAHERALD}.md</w:t>
      </w:r>
      <w:r>
        <w:t xml:space="preserve"> </w:t>
      </w:r>
      <w:r>
        <w:t xml:space="preserve">— one nano-detail, anti-bluff reference per flavor binary, documenting every subcommand the built binary surfaces, the env/credentials each needs, real example invocations, and live-vs-not-yet-implemented status. Cross-linked per-row in the §10 flavor table above.</w:t>
      </w:r>
    </w:p>
    <w:p>
      <w:pPr>
        <w:pStyle w:val="Compact"/>
        <w:numPr>
          <w:ilvl w:val="0"/>
          <w:numId w:val="1011"/>
        </w:numPr>
      </w:pPr>
      <w:r>
        <w:rPr>
          <w:b/>
          <w:bCs/>
        </w:rPr>
        <w:t xml:space="preserve">ATMOSphere host-daemon deploy</w:t>
      </w:r>
      <w:r>
        <w:t xml:space="preserve">:</w:t>
      </w:r>
      <w:r>
        <w:t xml:space="preserve"> </w:t>
      </w:r>
      <w:r>
        <w:rPr>
          <w:rStyle w:val="VerbatimChar"/>
        </w:rPr>
        <w:t xml:space="preserve">docs/guides/ATMOSPHERE_DAEMON_DEPLOY.md</w:t>
      </w:r>
      <w:r>
        <w:t xml:space="preserve"> </w:t>
      </w:r>
      <w:r>
        <w:t xml:space="preserve">+</w:t>
      </w:r>
      <w:r>
        <w:t xml:space="preserve"> </w:t>
      </w:r>
      <w:r>
        <w:rPr>
          <w:rStyle w:val="VerbatimChar"/>
        </w:rPr>
        <w:t xml:space="preserve">deploy/atmosphere-herald/</w:t>
      </w:r>
      <w:r>
        <w:t xml:space="preserve"> </w:t>
      </w:r>
      <w:r>
        <w:t xml:space="preserve">— the operator runbook + systemd/launchd units +</w:t>
      </w:r>
      <w:r>
        <w:t xml:space="preserve"> </w:t>
      </w:r>
      <w:r>
        <w:rPr>
          <w:rStyle w:val="VerbatimChar"/>
        </w:rPr>
        <w:t xml:space="preserve">install.sh</w:t>
      </w:r>
      <w:r>
        <w:t xml:space="preserve">/</w:t>
      </w:r>
      <w:r>
        <w:rPr>
          <w:rStyle w:val="VerbatimChar"/>
        </w:rPr>
        <w:t xml:space="preserve">uninstall.sh</w:t>
      </w:r>
      <w:r>
        <w:t xml:space="preserve">/</w:t>
      </w:r>
      <w:r>
        <w:rPr>
          <w:rStyle w:val="VerbatimChar"/>
        </w:rPr>
        <w:t xml:space="preserve">seed-subscribers.sh</w:t>
      </w:r>
      <w:r>
        <w:t xml:space="preserve"> </w:t>
      </w:r>
      <w:r>
        <w:t xml:space="preserve">for running the</w:t>
      </w:r>
      <w:r>
        <w:t xml:space="preserve"> </w:t>
      </w:r>
      <w:r>
        <w:rPr>
          <w:rStyle w:val="VerbatimChar"/>
        </w:rPr>
        <w:t xml:space="preserve">pherald watch</w:t>
      </w:r>
      <w:r>
        <w:t xml:space="preserve"> </w:t>
      </w:r>
      <w:r>
        <w:t xml:space="preserve">(outbound SSoT→notify) and</w:t>
      </w:r>
      <w:r>
        <w:t xml:space="preserve"> </w:t>
      </w:r>
      <w:r>
        <w:rPr>
          <w:rStyle w:val="VerbatimChar"/>
        </w:rPr>
        <w:t xml:space="preserve">pherald listen</w:t>
      </w:r>
      <w:r>
        <w:t xml:space="preserve"> </w:t>
      </w:r>
      <w:r>
        <w:t xml:space="preserve">(inbound→CRUD) daemons on the ATMOSphere host (HRD-157).</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docs/specs/mvp/specification.V4.md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36"/>
    <w:bookmarkStart w:id="37"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p>
      <w:r>
        <w:pict>
          <v:rect style="width:0;height:1.5pt" o:hralign="center" o:hrstd="t" o:hr="t"/>
        </w:pict>
      </w:r>
    </w:p>
    <w:bookmarkEnd w:id="37"/>
    <w:bookmarkStart w:id="43"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8">
              <w:r>
                <w:rPr>
                  <w:rStyle w:val="Hyperlink"/>
                </w:rPr>
                <w:t xml:space="preserve">https://core.telegram.org/bots/api</w:t>
              </w:r>
            </w:hyperlink>
          </w:p>
        </w:tc>
        <w:tc>
          <w:tcPr/>
          <w:p>
            <w:pPr>
              <w:pStyle w:val="Compact"/>
            </w:pPr>
            <w:r>
              <w:t xml:space="preserve">§5 (</w:t>
            </w:r>
            <w:r>
              <w:rPr>
                <w:rStyle w:val="VerbatimChar"/>
              </w:rPr>
              <w:t xml:space="preserve">pherald wizard credentials telegram</w:t>
            </w:r>
            <w:r>
              <w:t xml:space="preserve"> </w:t>
            </w:r>
            <w:r>
              <w:t xml:space="preserve">validation against</w:t>
            </w:r>
            <w:r>
              <w:t xml:space="preserve"> </w:t>
            </w:r>
            <w:r>
              <w:rPr>
                <w:rStyle w:val="VerbatimChar"/>
              </w:rPr>
              <w:t xml:space="preserve">getMe</w:t>
            </w:r>
            <w:r>
              <w:t xml:space="preserve">); §1 (Telegram appears in the live-channels list); §10 (Telegram-side delivery verification — operator's chat receives the message); the §11.4-anti-bluff invariant that</w:t>
            </w:r>
            <w:r>
              <w:t xml:space="preserve"> </w:t>
            </w:r>
            <w:r>
              <w:rPr>
                <w:rStyle w:val="VerbatimChar"/>
              </w:rPr>
              <w:t xml:space="preserve">outbound_delivery_evidence.channel_message_id</w:t>
            </w:r>
            <w:r>
              <w:t xml:space="preserve"> </w:t>
            </w:r>
            <w:r>
              <w:t xml:space="preserve">MUST equal the Telegram-side</w:t>
            </w:r>
            <w:r>
              <w:t xml:space="preserve"> </w:t>
            </w:r>
            <w:r>
              <w:rPr>
                <w:rStyle w:val="VerbatimChar"/>
              </w:rPr>
              <w:t xml:space="preserve">MessageID</w:t>
            </w:r>
            <w:r>
              <w:t xml:space="preserve"> </w:t>
            </w:r>
            <w:r>
              <w:t xml:space="preserve">(not a Herald UUID).</w:t>
            </w:r>
          </w:p>
        </w:tc>
      </w:tr>
      <w:tr>
        <w:tc>
          <w:tcPr/>
          <w:p>
            <w:pPr>
              <w:pStyle w:val="Compact"/>
            </w:pPr>
            <w:r>
              <w:t xml:space="preserve">CloudEvents v1.0 spec</w:t>
            </w:r>
          </w:p>
        </w:tc>
        <w:tc>
          <w:tcPr/>
          <w:p>
            <w:pPr>
              <w:pStyle w:val="Compact"/>
            </w:pPr>
            <w:hyperlink r:id="rId39">
              <w:r>
                <w:rPr>
                  <w:rStyle w:val="Hyperlink"/>
                </w:rPr>
                <w:t xml:space="preserve">https://github.com/cloudevents/spec/blob/v1.0.2/cloudevents/spec.md</w:t>
              </w:r>
            </w:hyperlink>
          </w:p>
        </w:tc>
        <w:tc>
          <w:tcPr/>
          <w:p>
            <w:pPr>
              <w:pStyle w:val="Compact"/>
            </w:pPr>
            <w:r>
              <w:t xml:space="preserve">§1 (</w:t>
            </w:r>
            <w:r>
              <w:rPr>
                <w:rStyle w:val="VerbatimChar"/>
              </w:rPr>
              <w:t xml:space="preserve">POST /v1/events</w:t>
            </w:r>
            <w:r>
              <w:t xml:space="preserve"> </w:t>
            </w:r>
            <w:r>
              <w:t xml:space="preserve">accepts CloudEvents); §8 (CloudEvents envelope shape in the first POST example); §10 (the inbound contract for every flavor); §11 (consumer-side CloudEvents emission).</w:t>
            </w:r>
          </w:p>
        </w:tc>
      </w:tr>
      <w:tr>
        <w:tc>
          <w:tcPr/>
          <w:p>
            <w:pPr>
              <w:pStyle w:val="Compact"/>
            </w:pPr>
            <w:r>
              <w:t xml:space="preserve">PostgreSQL official documentation</w:t>
            </w:r>
          </w:p>
        </w:tc>
        <w:tc>
          <w:tcPr/>
          <w:p>
            <w:pPr>
              <w:pStyle w:val="Compact"/>
            </w:pPr>
            <w:hyperlink r:id="rId40">
              <w:r>
                <w:rPr>
                  <w:rStyle w:val="Hyperlink"/>
                </w:rPr>
                <w:t xml:space="preserve">https://www.postgresql.org/docs/15/</w:t>
              </w:r>
            </w:hyperlink>
          </w:p>
        </w:tc>
        <w:tc>
          <w:tcPr/>
          <w:p>
            <w:pPr>
              <w:pStyle w:val="Compact"/>
            </w:pPr>
            <w:r>
              <w:t xml:space="preserve">§2 prerequisite (</w:t>
            </w:r>
            <w:r>
              <w:rPr>
                <w:rStyle w:val="VerbatimChar"/>
              </w:rPr>
              <w:t xml:space="preserve">Postgres 15+</w:t>
            </w:r>
            <w:r>
              <w:t xml:space="preserve">); §6 migration semantics (</w:t>
            </w:r>
            <w:r>
              <w:rPr>
                <w:rStyle w:val="VerbatimChar"/>
              </w:rPr>
              <w:t xml:space="preserve">000001..000014</w:t>
            </w:r>
            <w:r>
              <w:t xml:space="preserve"> </w:t>
            </w:r>
            <w:r>
              <w:t xml:space="preserve">schema versions; RLS-enforced;</w:t>
            </w:r>
            <w:r>
              <w:t xml:space="preserve"> </w:t>
            </w:r>
            <w:r>
              <w:rPr>
                <w:rStyle w:val="VerbatimChar"/>
              </w:rPr>
              <w:t xml:space="preserve">app.current_tenant_id</w:t>
            </w:r>
            <w:r>
              <w:t xml:space="preserve"> </w:t>
            </w:r>
            <w:r>
              <w:t xml:space="preserve">GUC).</w:t>
            </w:r>
          </w:p>
        </w:tc>
      </w:tr>
      <w:tr>
        <w:tc>
          <w:tcPr/>
          <w:p>
            <w:pPr>
              <w:pStyle w:val="Compact"/>
            </w:pPr>
            <w:r>
              <w:t xml:space="preserve">Redis official documentation</w:t>
            </w:r>
          </w:p>
        </w:tc>
        <w:tc>
          <w:tcPr/>
          <w:p>
            <w:pPr>
              <w:pStyle w:val="Compact"/>
            </w:pPr>
            <w:hyperlink r:id="rId41">
              <w:r>
                <w:rPr>
                  <w:rStyle w:val="Hyperlink"/>
                </w:rPr>
                <w:t xml:space="preserve">https://redis.io/docs/</w:t>
              </w:r>
            </w:hyperlink>
          </w:p>
        </w:tc>
        <w:tc>
          <w:tcPr/>
          <w:p>
            <w:pPr>
              <w:pStyle w:val="Compact"/>
            </w:pPr>
            <w:r>
              <w:t xml:space="preserve">§2 prerequisite (</w:t>
            </w:r>
            <w:r>
              <w:rPr>
                <w:rStyle w:val="VerbatimChar"/>
              </w:rPr>
              <w:t xml:space="preserve">Redis 7+</w:t>
            </w:r>
            <w:r>
              <w:t xml:space="preserve">); §6 (hot idempotency cache 24h SETNX TTL; JWKS cache 5 min default).</w:t>
            </w:r>
          </w:p>
        </w:tc>
      </w:tr>
      <w:tr>
        <w:tc>
          <w:tcPr/>
          <w:p>
            <w:pPr>
              <w:pStyle w:val="Compact"/>
            </w:pPr>
            <w:r>
              <w:t xml:space="preserve">Anthropic — Claude Code documentation</w:t>
            </w:r>
          </w:p>
        </w:tc>
        <w:tc>
          <w:tcPr/>
          <w:p>
            <w:pPr>
              <w:pStyle w:val="Compact"/>
            </w:pPr>
            <w:hyperlink r:id="rId42">
              <w:r>
                <w:rPr>
                  <w:rStyle w:val="Hyperlink"/>
                </w:rPr>
                <w:t xml:space="preserve">https://docs.anthropic.com/claude-code</w:t>
              </w:r>
            </w:hyperlink>
          </w:p>
        </w:tc>
        <w:tc>
          <w:tcPr/>
          <w:p>
            <w:pPr>
              <w:pStyle w:val="Compact"/>
            </w:pPr>
            <w:r>
              <w:t xml:space="preserve">§2 optional dependency (</w:t>
            </w:r>
            <w:r>
              <w:rPr>
                <w:rStyle w:val="VerbatimChar"/>
              </w:rPr>
              <w:t xml:space="preserve">claude</w:t>
            </w:r>
            <w:r>
              <w:t xml:space="preserve"> </w:t>
            </w:r>
            <w:r>
              <w:t xml:space="preserve">CLI required only for the Claude Code dispatcher — HRD-012); §10 the dispatcher half of the vertical slice.</w:t>
            </w:r>
          </w:p>
        </w:tc>
      </w:tr>
      <w:tr>
        <w:tc>
          <w:tcPr/>
          <w:p>
            <w:pPr>
              <w:pStyle w:val="Compact"/>
            </w:pPr>
            <w:r>
              <w:t xml:space="preserve">Herald spec V3 (source of truth)</w:t>
            </w:r>
          </w:p>
        </w:tc>
        <w:tc>
          <w:tcPr/>
          <w:p>
            <w:pPr>
              <w:pStyle w:val="Compact"/>
            </w:pPr>
            <w:r>
              <w:rPr>
                <w:rStyle w:val="VerbatimChar"/>
              </w:rPr>
              <w:t xml:space="preserve">docs/specs/mvp/specification.V4.md</w:t>
            </w:r>
          </w:p>
        </w:tc>
        <w:tc>
          <w:tcPr/>
          <w:p>
            <w:pPr>
              <w:pStyle w:val="Compact"/>
            </w:pPr>
            <w:r>
              <w:t xml:space="preserve">The ENTIRE document — spec wins on conflict (per the §"Spec V3" closing note); §32 7-stage Runner architecture; §33 LLM/agent dispatch architecture; §43 command catalogue; §107 anti-bluff covenant.</w:t>
            </w:r>
          </w:p>
        </w:tc>
      </w:tr>
      <w:tr>
        <w:tc>
          <w:tcPr/>
          <w:p>
            <w:pPr>
              <w:pStyle w:val="Compact"/>
            </w:pPr>
            <w:r>
              <w:t xml:space="preserve">Empirical Herald operator testing 2026-05-22+</w:t>
            </w:r>
          </w:p>
        </w:tc>
        <w:tc>
          <w:tcPr/>
          <w:p>
            <w:pPr>
              <w:pStyle w:val="Compact"/>
            </w:pPr>
            <w:r>
              <w:rPr>
                <w:rStyle w:val="VerbatimChar"/>
              </w:rPr>
              <w:t xml:space="preserve">docs/qa/</w:t>
            </w:r>
            <w:r>
              <w:t xml:space="preserve"> </w:t>
            </w:r>
            <w:r>
              <w:t xml:space="preserve">(Wave-3b commit</w:t>
            </w:r>
            <w:r>
              <w:t xml:space="preserve"> </w:t>
            </w:r>
            <w:r>
              <w:rPr>
                <w:rStyle w:val="VerbatimChar"/>
              </w:rPr>
              <w:t xml:space="preserve">c2b67c3</w:t>
            </w:r>
            <w:r>
              <w:t xml:space="preserve">; Wave-4a/4b; Wave-6 HRD-LIVE-* directories)</w:t>
            </w:r>
          </w:p>
        </w:tc>
        <w:tc>
          <w:tcPr/>
          <w:p>
            <w:pPr>
              <w:pStyle w:val="Compact"/>
            </w:pPr>
            <w:r>
              <w:t xml:space="preserve">§1 Wave-3b 7-stage Runner status; §12 Wave-4 transport roadmap (HTTP/3 + Brotli + TOON design landed</w:t>
            </w:r>
            <w:r>
              <w:t xml:space="preserve"> </w:t>
            </w:r>
            <w:r>
              <w:rPr>
                <w:rStyle w:val="VerbatimChar"/>
              </w:rPr>
              <w:t xml:space="preserve">c60b3fd</w:t>
            </w:r>
            <w:r>
              <w:t xml:space="preserv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cadence requirement.</w:t>
            </w:r>
          </w:p>
        </w:tc>
      </w:tr>
    </w:tbl>
    <w:p>
      <w:pPr>
        <w:pStyle w:val="BodyText"/>
      </w:pPr>
      <w:r>
        <w:rPr>
          <w:b/>
          <w:bCs/>
        </w:rPr>
        <w:t xml:space="preserve">Re-verification cadence (per §11.4.99 (C)):</w:t>
      </w:r>
      <w:r>
        <w:t xml:space="preserve"> </w:t>
      </w:r>
      <w:r>
        <w:t xml:space="preserve">This guide aggregates instructions across multiple external services. Per §11.4.99 (D): Telegram-touching sections (§5, §10 verification step) →</w:t>
      </w:r>
      <w:r>
        <w:t xml:space="preserve"> </w:t>
      </w:r>
      <w:r>
        <w:rPr>
          <w:b/>
          <w:bCs/>
        </w:rPr>
        <w:t xml:space="preserve">90-day staleness</w:t>
      </w:r>
      <w:r>
        <w:t xml:space="preserve"> </w:t>
      </w:r>
      <w:r>
        <w:t xml:space="preserve">(next due</w:t>
      </w:r>
      <w:r>
        <w:t xml:space="preserve"> </w:t>
      </w:r>
      <w:r>
        <w:rPr>
          <w:b/>
          <w:bCs/>
        </w:rPr>
        <w:t xml:space="preserve">2026-08-26</w:t>
      </w:r>
      <w:r>
        <w:t xml:space="preserve">); Postgres + Redis + CloudEvents + Claude Code sections →</w:t>
      </w:r>
      <w:r>
        <w:t xml:space="preserve"> </w:t>
      </w:r>
      <w:r>
        <w:rPr>
          <w:b/>
          <w:bCs/>
        </w:rPr>
        <w:t xml:space="preserve">180-day staleness</w:t>
      </w:r>
      <w:r>
        <w:t xml:space="preserve"> </w:t>
      </w:r>
      <w:r>
        <w:t xml:space="preserve">(next due</w:t>
      </w:r>
      <w:r>
        <w:t xml:space="preserve"> </w:t>
      </w:r>
      <w:r>
        <w:rPr>
          <w:b/>
          <w:bCs/>
        </w:rPr>
        <w:t xml:space="preserve">2026-11-24</w:t>
      </w:r>
      <w:r>
        <w:t xml:space="preserve">). The guide's mission-statement, repository-layout, and constitution-discovery sections track Herald's own internal contracts and are not externally-time-bound — refresh on Herald breaking changes (spec V3 rev bumps, workspace-module additions, mirror-host changes).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_rels/footnotes.xml.rels><?xml version="1.0" encoding="UTF-8"?><Relationships xmlns="http://schemas.openxmlformats.org/package/2006/relationships"><Relationship Type="http://schemas.openxmlformats.org/officeDocument/2006/relationships/hyperlink" Id="rId17" Target="design/INTENT_RECOGNITION.md" TargetMode="External" /><Relationship Type="http://schemas.openxmlformats.org/officeDocument/2006/relationships/hyperlink" Id="rId14" Target="design/PARTICIPANT_ATTRIBUTION.md" TargetMode="External" /><Relationship Type="http://schemas.openxmlformats.org/officeDocument/2006/relationships/hyperlink" Id="rId28" Target="guides/BHERALD.md" TargetMode="External" /><Relationship Type="http://schemas.openxmlformats.org/officeDocument/2006/relationships/hyperlink" Id="rId26" Target="guides/CHERALD.md" TargetMode="External" /><Relationship Type="http://schemas.openxmlformats.org/officeDocument/2006/relationships/hyperlink" Id="rId27" Target="guides/IHERALD.md" TargetMode="External" /><Relationship Type="http://schemas.openxmlformats.org/officeDocument/2006/relationships/hyperlink" Id="rId18" Target="guides/MESSENGER_CHANNELS.md" TargetMode="External" /><Relationship Type="http://schemas.openxmlformats.org/officeDocument/2006/relationships/hyperlink" Id="rId15" Target="guides/OPERATOR_CREDENTIALS.md" TargetMode="External" /><Relationship Type="http://schemas.openxmlformats.org/officeDocument/2006/relationships/hyperlink" Id="rId19" Target="guides/PHERALD.md" TargetMode="External" /><Relationship Type="http://schemas.openxmlformats.org/officeDocument/2006/relationships/hyperlink" Id="rId31" Target="guides/QAHERALD.md" TargetMode="External" /><Relationship Type="http://schemas.openxmlformats.org/officeDocument/2006/relationships/hyperlink" Id="rId29" Target="guides/RHERALD.md" TargetMode="External" /><Relationship Type="http://schemas.openxmlformats.org/officeDocument/2006/relationships/hyperlink" Id="rId30" Target="guides/SCHERALD.md" TargetMode="External" /><Relationship Type="http://schemas.openxmlformats.org/officeDocument/2006/relationships/hyperlink" Id="rId25" Target="guides/SHERALD.md" TargetMode="External" /><Relationship Type="http://schemas.openxmlformats.org/officeDocument/2006/relationships/hyperlink" Id="rId16" Target="guides/WORKABLE_ITEMS_INTEGRATION.md" TargetMode="External" /><Relationship Type="http://schemas.openxmlformats.org/officeDocument/2006/relationships/hyperlink" Id="rId38" Target="https://core.telegram.org/bots/api" TargetMode="External" /><Relationship Type="http://schemas.openxmlformats.org/officeDocument/2006/relationships/hyperlink" Id="rId42" Target="https://docs.anthropic.com/claude-code" TargetMode="External" /><Relationship Type="http://schemas.openxmlformats.org/officeDocument/2006/relationships/hyperlink" Id="rId39" Target="https://github.com/cloudevents/spec/blob/v1.0.2/cloudevents/spec.md" TargetMode="External" /><Relationship Type="http://schemas.openxmlformats.org/officeDocument/2006/relationships/hyperlink" Id="rId41" Target="https://redis.io/docs/" TargetMode="External" /><Relationship Type="http://schemas.openxmlformats.org/officeDocument/2006/relationships/hyperlink" Id="rId40" Target="https://www.postgresql.org/docs/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2026-05-31T07:12:32Z</dcterms:created>
  <dcterms:modified xsi:type="dcterms:W3CDTF">2026-05-31T07:12:32Z</dcterms:modified>
</cp:coreProperties>
</file>

<file path=docProps/custom.xml><?xml version="1.0" encoding="utf-8"?>
<Properties xmlns="http://schemas.openxmlformats.org/officeDocument/2006/custom-properties" xmlns:vt="http://schemas.openxmlformats.org/officeDocument/2006/docPropsVTypes"/>
</file>