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8"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r7: extended §108 with §108.j–§108.l restating the next three inherited HelixConstitution mandates — §11.4.95 workable-items SQLite DB tracked-in-git-not-gitignored, §11.4.96 safe-parallel-work-with-long-build catalogue + mandate, §11.4.97 maximum-use-of-idle-time + progress-update cadence — at Herald project-constitution level per §1.1 multi-file propagation discipline;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 Prior 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 §108.j–§108.l Helix §11.4.95–§11.4.97 propagation (r7)</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 r7 extends §108 with §108.j–§108.l (§108.j workable-items SQLite DB tracked-in-git-not-gitignored §11.4.95, §108.k safe-parallel-work-with-long-build catalogue + mandate §11.4.96, §108.l maximum-use-of-idle-time + progress-update cadence §11.4.97) restating the next three inherited HelixConstitution mandates at Herald level,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6014f8c2d8b9ec0d7576d4dd4de0030dd248200">
        <w:r>
          <w:rPr>
            <w:rStyle w:val="Hyperlink"/>
          </w:rPr>
          <w:t xml:space="preserve">§108. Inherited covenant restatements (Helix §11.4.85 / §11.4.87 / §11.4.88 / §11.4.89 / §11.4.90 / §11.4.91 / §11.4.92 / §11.4.93 / §11.4.94 / §11.4.95 / §11.4.96 / §11.4.97)</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33"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docs/specs/mvp/specification.V3.md`)</w:t>
      </w:r>
      <w:r>
        <w:rPr>
          <w:rStyle w:val="VerbatimChar"/>
        </w:rPr>
        <w:t xml:space="preserve">MUST appear in</w:t>
      </w:r>
      <w:r>
        <w:t xml:space="preserve">docs/specs/mvp/specification.V3.md`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32" w:name="X6014f8c2d8b9ec0d7576d4dd4de0030dd248200"/>
    <w:p>
      <w:pPr>
        <w:pStyle w:val="Heading3"/>
      </w:pPr>
      <w:r>
        <w:t xml:space="preserve">§108. Inherited covenant restatements (Helix §11.4.85 / §11.4.87 / §11.4.88 / §11.4.89 / §11.4.90 / §11.4.91 / §11.4.92 / §11.4.93 / §11.4.94 / §11.4.95 / §11.4.96 / §11.4.97)</w:t>
      </w:r>
    </w:p>
    <w:p>
      <w:pPr>
        <w:pStyle w:val="FirstParagraph"/>
      </w:pPr>
      <w:r>
        <w:t xml:space="preserve">These twelve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w:t>
      </w:r>
      <w:r>
        <w:t xml:space="preserve"> </w:t>
      </w:r>
      <w:r>
        <w:rPr>
          <w:rStyle w:val="VerbatimChar"/>
        </w:rPr>
        <w:t xml:space="preserve">11.4.95</w:t>
      </w:r>
      <w:r>
        <w:t xml:space="preserve">,</w:t>
      </w:r>
      <w:r>
        <w:t xml:space="preserve"> </w:t>
      </w:r>
      <w:r>
        <w:rPr>
          <w:rStyle w:val="VerbatimChar"/>
        </w:rPr>
        <w:t xml:space="preserve">11.4.96</w:t>
      </w:r>
      <w:r>
        <w:t xml:space="preserve">,</w:t>
      </w:r>
      <w:r>
        <w:t xml:space="preserve"> </w:t>
      </w:r>
      <w:r>
        <w:rPr>
          <w:rStyle w:val="VerbatimChar"/>
        </w:rPr>
        <w:t xml:space="preserve">11.4.97</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 operator mandate 2026-05-27: "We should not git ignore our workable items database since it is our single source of truth regarding items we have to do on the project!". This is a deliberate Herald divergence from the parent §11.4.93 gitignored-with-regeneration default: for Herald the DB IS the authoritative artefact, so it is committed and version-controlled, NOT regenerated-on-clone; only the transient SQLite WAL/SHM sidecars (</w:t>
      </w:r>
      <w:r>
        <w:rPr>
          <w:rStyle w:val="VerbatimChar"/>
        </w:rPr>
        <w:t xml:space="preserve">docs/.workable_items.db-wal</w:t>
      </w:r>
      <w:r>
        <w:t xml:space="preserve"> </w:t>
      </w:r>
      <w:r>
        <w:t xml:space="preserve">/</w:t>
      </w:r>
      <w:r>
        <w:t xml:space="preserve"> </w:t>
      </w:r>
      <w:r>
        <w:rPr>
          <w:rStyle w:val="VerbatimChar"/>
        </w:rPr>
        <w:t xml:space="preserve">-shm</w:t>
      </w:r>
      <w:r>
        <w:t xml:space="preserve">) stay gitignored)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bookmarkEnd w:id="28"/>
    <w:bookmarkStart w:id="29" w:name="X4001691c960f7ca8b754378bbbefad812903513"/>
    <w:p>
      <w:pPr>
        <w:pStyle w:val="Heading4"/>
      </w:pPr>
      <w:r>
        <w:t xml:space="preserve">§108.j. Workable-items SQLite DB is TRACKED in git, never gitignored (extends Universal §11.4.95; Helix 2026-05-27)</w:t>
      </w:r>
    </w:p>
    <w:p>
      <w:pPr>
        <w:pStyle w:val="FirstParagraph"/>
      </w:pPr>
      <w:r>
        <w:rPr>
          <w:b/>
          <w:bCs/>
        </w:rPr>
        <w:t xml:space="preserve">Forensic anchor — verbatim user mandate (2026-05-27, condensed):</w:t>
      </w:r>
    </w:p>
    <w:p>
      <w:pPr>
        <w:pStyle w:val="BlockText"/>
      </w:pPr>
      <w:r>
        <w:t xml:space="preserve">"We should not git ignore our workable items database since it is our single source of truth regarding items we have to do on the project! — it must be committed and pushed, never regenerated-on-clone, and never silently rewritten without a backup."</w:t>
      </w:r>
    </w:p>
    <w:p>
      <w:pPr>
        <w:pStyle w:val="FirstParagraph"/>
      </w:pPr>
      <w:r>
        <w:rPr>
          <w:b/>
          <w:bCs/>
        </w:rPr>
        <w:t xml:space="preserve">Canonical authority.</w:t>
      </w:r>
      <w:r>
        <w:t xml:space="preserve"> </w:t>
      </w:r>
      <w:r>
        <w:t xml:space="preserve">Helix Universal Constitution §11.4.95. Herald §108.j is the project-binding restatement.</w:t>
      </w:r>
    </w:p>
    <w:p>
      <w:pPr>
        <w:pStyle w:val="BodyText"/>
      </w:pPr>
      <w:r>
        <w:rPr>
          <w:b/>
          <w:bCs/>
        </w:rPr>
        <w:t xml:space="preserve">Operative rule (Herald-binding).</w:t>
      </w:r>
      <w:r>
        <w:t xml:space="preserve"> </w:t>
      </w: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 SQLite</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 (which Herald had already diverged from per the same operator mandate).</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escape exists.</w:t>
      </w:r>
    </w:p>
    <w:bookmarkEnd w:id="29"/>
    <w:bookmarkStart w:id="30" w:name="Xbdf56c25169ba02c690c17fccfb2c819b00143c"/>
    <w:p>
      <w:pPr>
        <w:pStyle w:val="Heading4"/>
      </w:pPr>
      <w:r>
        <w:t xml:space="preserve">§108.k. Safe-parallel-work-with-long-build catalogue + mandate (extends Universal §11.4.96; Helix 2026-05-27)</w:t>
      </w:r>
    </w:p>
    <w:p>
      <w:pPr>
        <w:pStyle w:val="FirstParagraph"/>
      </w:pPr>
      <w:r>
        <w:rPr>
          <w:b/>
          <w:bCs/>
        </w:rPr>
        <w:t xml:space="preserve">Forensic anchor — verbatim user mandate (2026-05-27, condensed):</w:t>
      </w:r>
    </w:p>
    <w:p>
      <w:pPr>
        <w:pStyle w:val="BlockText"/>
      </w:pPr>
      <w:r>
        <w:t xml:space="preserve">"while a long build or long-running operation is going, do not sit idle — there is a whole catalogue of work that is safe to do in parallel, so consult it and dispatch the safe non-contending items, and only avoid the things that would collide with the running operation."</w:t>
      </w:r>
    </w:p>
    <w:p>
      <w:pPr>
        <w:pStyle w:val="FirstParagraph"/>
      </w:pPr>
      <w:r>
        <w:rPr>
          <w:b/>
          <w:bCs/>
        </w:rPr>
        <w:t xml:space="preserve">Canonical authority.</w:t>
      </w:r>
      <w:r>
        <w:t xml:space="preserve"> </w:t>
      </w:r>
      <w:r>
        <w:t xml:space="preserve">Helix Universal Constitution §11.4.96. Herald §108.k is the project-binding restatement.</w:t>
      </w:r>
    </w:p>
    <w:p>
      <w:pPr>
        <w:pStyle w:val="BodyText"/>
      </w:pPr>
      <w:r>
        <w:rPr>
          <w:b/>
          <w:bCs/>
        </w:rPr>
        <w:t xml:space="preserve">Operative rule (Herald-binding).</w:t>
      </w:r>
      <w:r>
        <w:t xml:space="preserve"> </w:t>
      </w: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§108.a /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 / §11.4.84):</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(composes with §108.d / §11.4.89 single-gate serialisation), host-session-safety breaches (§12). Subagent-driven default per §11.4.20 / §11.4.70. This is the catalogue that makes §108.i / §11.4.94 (zero-idle parallel-by-default) concrete during Herald's longest-running operations.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escape exists.</w:t>
      </w:r>
    </w:p>
    <w:bookmarkEnd w:id="30"/>
    <w:bookmarkStart w:id="31" w:name="X7e6b64e3147d89d521fb91120f9cafc6e675a92"/>
    <w:p>
      <w:pPr>
        <w:pStyle w:val="Heading4"/>
      </w:pPr>
      <w:r>
        <w:t xml:space="preserve">§108.l. Maximum-use-of-idle-time mandate + progress-update cadence (extends Universal §11.4.97; Helix 2026-05-27)</w:t>
      </w:r>
    </w:p>
    <w:p>
      <w:pPr>
        <w:pStyle w:val="FirstParagraph"/>
      </w:pPr>
      <w:r>
        <w:rPr>
          <w:b/>
          <w:bCs/>
        </w:rPr>
        <w:t xml:space="preserve">Forensic anchor — verbatim user mandate (2026-05-27, condensed):</w:t>
      </w:r>
    </w:p>
    <w:p>
      <w:pPr>
        <w:pStyle w:val="BlockText"/>
      </w:pPr>
      <w:r>
        <w:t xml:space="preserve">"use every minute of idle time to move work forward — and keep me posted with short progress updates at each milestone without me having to ask, always backed by real captured evidence for anything you mark done."</w:t>
      </w:r>
    </w:p>
    <w:p>
      <w:pPr>
        <w:pStyle w:val="FirstParagraph"/>
      </w:pPr>
      <w:r>
        <w:rPr>
          <w:b/>
          <w:bCs/>
        </w:rPr>
        <w:t xml:space="preserve">Canonical authority.</w:t>
      </w:r>
      <w:r>
        <w:t xml:space="preserve"> </w:t>
      </w:r>
      <w:r>
        <w:t xml:space="preserve">Helix Universal Constitution §11.4.97. Herald §108.l is the project-binding restatement.</w:t>
      </w:r>
    </w:p>
    <w:p>
      <w:pPr>
        <w:pStyle w:val="BodyText"/>
      </w:pPr>
      <w:r>
        <w:rPr>
          <w:b/>
          <w:bCs/>
        </w:rPr>
        <w:t xml:space="preserve">Operative rule (Herald-binding).</w:t>
      </w:r>
      <w:r>
        <w:t xml:space="preserve"> </w:t>
      </w:r>
      <w:r>
        <w:t xml:space="preserve">(A)</w:t>
      </w:r>
      <w:r>
        <w:t xml:space="preserve"> </w:t>
      </w:r>
      <w:r>
        <w:rPr>
          <w:b/>
          <w:bCs/>
        </w:rPr>
        <w:t xml:space="preserve">Maximum-use-of-idle-time</w:t>
      </w:r>
      <w:r>
        <w:t xml:space="preserve"> </w:t>
      </w:r>
      <w:r>
        <w:t xml:space="preserve">— every minute of conductor idle time during which progressable, non-externally-blocked work exists is a violation; the conductor dispatches work continuously through the whole idle window, not just at scheduled wakes (the temporal extension of §108.i / §11.4.94 and §108.k / §11.4.96). (B)</w:t>
      </w:r>
      <w:r>
        <w:t xml:space="preserve"> </w:t>
      </w:r>
      <w:r>
        <w:rPr>
          <w:b/>
          <w:bCs/>
        </w:rPr>
        <w:t xml:space="preserve">Progress-update cadence</w:t>
      </w:r>
      <w:r>
        <w:t xml:space="preserve"> </w:t>
      </w:r>
      <w:r>
        <w:t xml:space="preserve">—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 / Obsolete closure. (C)</w:t>
      </w:r>
      <w:r>
        <w:t xml:space="preserve"> </w:t>
      </w:r>
      <w:r>
        <w:rPr>
          <w:b/>
          <w:bCs/>
        </w:rPr>
        <w:t xml:space="preserve">Continuous physical-proof gathering</w:t>
      </w:r>
      <w:r>
        <w:t xml:space="preserve"> </w:t>
      </w:r>
      <w:r>
        <w:t xml:space="preserve">per §11.4.5 / §11.4.6 / §11.4.69 (and §107 / §107.x) — every closed item carries positive captured evidence committed alongside the closure; a "done" with no artefact is a §11.4 / §107 PASS-bluff. (E)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escape exists.</w:t>
      </w:r>
    </w:p>
    <w:p>
      <w:pPr>
        <w:pStyle w:val="BodyText"/>
      </w:pPr>
      <w:r>
        <w:rPr>
          <w:b/>
          <w:bCs/>
        </w:rPr>
        <w:t xml:space="preserve">Propagation (§108.j–§108.l).</w:t>
      </w:r>
      <w:r>
        <w:t xml:space="preserve"> </w:t>
      </w:r>
      <w:r>
        <w:t xml:space="preserve">These three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§11.4.95 / §11.4.96 / §11.4.97 are cascaded into the Helix-stack submodules per §1.1 multi-file propagation discipline. The literal anchors</w:t>
      </w:r>
      <w:r>
        <w:t xml:space="preserve"> </w:t>
      </w:r>
      <w:r>
        <w:rPr>
          <w:rStyle w:val="VerbatimChar"/>
        </w:rPr>
        <w:t xml:space="preserve">11.4.95</w:t>
      </w:r>
      <w:r>
        <w:t xml:space="preserve"> </w:t>
      </w:r>
      <w:r>
        <w:t xml:space="preserve">/</w:t>
      </w:r>
      <w:r>
        <w:t xml:space="preserve"> </w:t>
      </w:r>
      <w:r>
        <w:rPr>
          <w:rStyle w:val="VerbatimChar"/>
        </w:rPr>
        <w:t xml:space="preserve">11.4.96</w:t>
      </w:r>
      <w:r>
        <w:t xml:space="preserve"> </w:t>
      </w:r>
      <w:r>
        <w:t xml:space="preserve">/</w:t>
      </w:r>
      <w:r>
        <w:t xml:space="preserve"> </w:t>
      </w:r>
      <w:r>
        <w:rPr>
          <w:rStyle w:val="VerbatimChar"/>
        </w:rPr>
        <w:t xml:space="preserve">11.4.97</w:t>
      </w:r>
      <w:r>
        <w:t xml:space="preserve"> </w:t>
      </w:r>
      <w:r>
        <w:t xml:space="preserve">are present in all three Herald root docs.</w:t>
      </w:r>
    </w:p>
    <w:p>
      <w:pPr>
        <w:pStyle w:val="BodyText"/>
      </w:pPr>
      <w:r>
        <w:rPr>
          <w:b/>
          <w:bCs/>
        </w:rPr>
        <w:t xml:space="preserve">Non-compliance is a release blocker (§108.j–§108.l).</w:t>
      </w:r>
      <w:r>
        <w:t xml:space="preserve"> </w:t>
      </w:r>
      <w:r>
        <w:t xml:space="preserve">Each sub-clause carries its inherited no-escape-hatch posture: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(§108.j),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(§108.k),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(§108.l).</w:t>
      </w:r>
    </w:p>
    <w:p>
      <w:r>
        <w:pict>
          <v:rect style="width:0;height:1.5pt" o:hralign="center" o:hrstd="t" o:hr="t"/>
        </w:pict>
      </w:r>
    </w:p>
    <w:bookmarkEnd w:id="31"/>
    <w:bookmarkEnd w:id="32"/>
    <w:bookmarkEnd w:id="33"/>
    <w:bookmarkStart w:id="34"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34"/>
    <w:bookmarkStart w:id="35"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35"/>
    <w:bookmarkStart w:id="36"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36"/>
    <w:bookmarkStart w:id="37" w:name="notes"/>
    <w:p>
      <w:pPr>
        <w:pStyle w:val="Heading2"/>
      </w:pPr>
      <w:r>
        <w:t xml:space="preserve">Notes</w:t>
      </w:r>
    </w:p>
    <w:p>
      <w:pPr>
        <w:pStyle w:val="FirstParagraph"/>
      </w:pPr>
      <w:r>
        <w:t xml:space="preserve">Herald's spec is now in V3 (</w:t>
      </w:r>
      <w:r>
        <w:rPr>
          <w:rStyle w:val="VerbatimChar"/>
        </w:rPr>
        <w:t xml:space="preserve">docs/specs/mvp/specification.V3.md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2026-05-27T20:05:19Z</dcterms:created>
  <dcterms:modified xsi:type="dcterms:W3CDTF">2026-05-27T20:05:19Z</dcterms:modified>
</cp:coreProperties>
</file>

<file path=docProps/custom.xml><?xml version="1.0" encoding="utf-8"?>
<Properties xmlns="http://schemas.openxmlformats.org/officeDocument/2006/custom-properties" xmlns:vt="http://schemas.openxmlformats.org/officeDocument/2006/docPropsVTypes"/>
</file>