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6" w:name="X0e28cc2c1382a27b848e88e569245a099114cda"/>
    <w:p>
      <w:pPr>
        <w:pStyle w:val="Heading1"/>
      </w:pPr>
      <w:r>
        <w:t xml:space="preserve">Catalogue-Check — HRD-092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shared scaffold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Fixed (Wave 2, r8)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Catalogue-Check survey executed per Universal §11.4.74 before the Wave 2 shared CLI scaffold (</w:t>
            </w:r>
            <w:r>
              <w:rPr>
                <w:rStyle w:val="VerbatimChar"/>
              </w:rPr>
              <w:t xml:space="preserve">commons/cli/</w:t>
            </w:r>
            <w:r>
              <w:t xml:space="preserve">) landed. Verdict: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no-match → vendor as Herald-internal package</w:t>
            </w:r>
            <w:r>
              <w:t xml:space="preserve">. Searched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HelixDevelopment</w:t>
            </w:r>
            <w:r>
              <w:t xml:space="preserve"> </w:t>
            </w:r>
            <w:r>
              <w:t xml:space="preserve">orgs for an existing Cobra + Gin flavor-binary scaffold that would let 7 Herald flavors share root command + version subcommand + serve subcommand + healthz/readyz/metrics handlers + 501-stub registration. No match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HRD-092 (closed via this verdict)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../Issues.md</w:t>
            </w:r>
            <w:r>
              <w:t xml:space="preserve"> </w:t>
            </w:r>
            <w:r>
              <w:t xml:space="preserve">(Wave 2 closure)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HRD-092 (Wave 2, r8) —</w:t>
            </w:r>
            <w:r>
              <w:t xml:space="preserve"> </w:t>
            </w:r>
            <w:r>
              <w:rPr>
                <w:rStyle w:val="VerbatimChar"/>
              </w:rPr>
              <w:t xml:space="preserve">commons/cli/</w:t>
            </w:r>
            <w:r>
              <w:t xml:space="preserve"> </w:t>
            </w:r>
            <w:r>
              <w:t xml:space="preserve">package landed in commit range</w:t>
            </w:r>
            <w:r>
              <w:t xml:space="preserve"> </w:t>
            </w:r>
            <w:r>
              <w:rPr>
                <w:rStyle w:val="VerbatimChar"/>
              </w:rPr>
              <w:t xml:space="preserve">7e0a614..37e348e</w:t>
            </w:r>
            <w:r>
              <w:t xml:space="preserve"> </w:t>
            </w:r>
            <w:r>
              <w:t xml:space="preserve">per Wave 2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docs/superpowers/plans/2026-05-21-wave2-flavor-scaffolds.md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Shared scaffold (~400 LOC + 7 unit tests) lets each</w:t>
            </w:r>
            <w:r>
              <w:t xml:space="preserve"> </w:t>
            </w:r>
            <w:r>
              <w:rPr>
                <w:rStyle w:val="VerbatimChar"/>
              </w:rPr>
              <w:t xml:space="preserve">cmd/&lt;flavor&gt;/main.go</w:t>
            </w:r>
            <w:r>
              <w:t xml:space="preserve"> </w:t>
            </w:r>
            <w:r>
              <w:t xml:space="preserve">stay at ~25–30 LOC. 7 flavor binaries (pherald, sherald, cherald, iherald, bherald, rherald, scherald) consume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3 work consumes</w:t>
            </w:r>
            <w:r>
              <w:t xml:space="preserve"> </w:t>
            </w:r>
            <w:r>
              <w:rPr>
                <w:rStyle w:val="VerbatimChar"/>
              </w:rPr>
              <w:t xml:space="preserve">cli.ServeCmd</w:t>
            </w:r>
            <w:r>
              <w:t xml:space="preserve"> </w:t>
            </w:r>
            <w:r>
              <w:t xml:space="preserve">middleware hook to add real Runner wiring per HRD-016, HRD-024, HRD-028, HRD-098.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92da7a5ee3846cdef8c8de3201af08e4b3ece4">
        <w:r>
          <w:rPr>
            <w:rStyle w:val="Hyperlink"/>
          </w:rPr>
          <w:t xml:space="preserve">§0. Purpose</w:t>
        </w:r>
      </w:hyperlink>
    </w:p>
    <w:p>
      <w:pPr>
        <w:pStyle w:val="Compact"/>
        <w:numPr>
          <w:ilvl w:val="0"/>
          <w:numId w:val="1001"/>
        </w:numPr>
      </w:pPr>
      <w:hyperlink w:anchor="Xf4a7604dfd0523b47931116010507411b222057">
        <w:r>
          <w:rPr>
            <w:rStyle w:val="Hyperlink"/>
          </w:rPr>
          <w:t xml:space="preserve">§1. Method</w:t>
        </w:r>
      </w:hyperlink>
    </w:p>
    <w:p>
      <w:pPr>
        <w:pStyle w:val="Compact"/>
        <w:numPr>
          <w:ilvl w:val="0"/>
          <w:numId w:val="1001"/>
        </w:numPr>
      </w:pPr>
      <w:hyperlink w:anchor="X1a601d67969f2c9d6f3373afa93caf946e70135">
        <w:r>
          <w:rPr>
            <w:rStyle w:val="Hyperlink"/>
          </w:rPr>
          <w:t xml:space="preserve">§2. Capability probed</w:t>
        </w:r>
      </w:hyperlink>
    </w:p>
    <w:p>
      <w:pPr>
        <w:pStyle w:val="Compact"/>
        <w:numPr>
          <w:ilvl w:val="0"/>
          <w:numId w:val="1001"/>
        </w:numPr>
      </w:pPr>
      <w:hyperlink w:anchor="X533492ce14b8f03509e0162b23899379e0c4f34">
        <w:r>
          <w:rPr>
            <w:rStyle w:val="Hyperlink"/>
          </w:rPr>
          <w:t xml:space="preserve">§3. Verdict + reasoning</w:t>
        </w:r>
      </w:hyperlink>
    </w:p>
    <w:p>
      <w:pPr>
        <w:pStyle w:val="Compact"/>
        <w:numPr>
          <w:ilvl w:val="0"/>
          <w:numId w:val="1001"/>
        </w:numPr>
      </w:pPr>
      <w:hyperlink w:anchor="X6d6ba267570cf7c5a93464c8abf20cf7ca58660">
        <w:r>
          <w:rPr>
            <w:rStyle w:val="Hyperlink"/>
          </w:rPr>
          <w:t xml:space="preserve">§4. As-built evidence</w:t>
        </w:r>
      </w:hyperlink>
    </w:p>
    <w:p>
      <w:pPr>
        <w:pStyle w:val="Compact"/>
        <w:numPr>
          <w:ilvl w:val="0"/>
          <w:numId w:val="1001"/>
        </w:numPr>
      </w:pPr>
      <w:hyperlink w:anchor="Xc15ecb880f212eb923d0715a73aef514d42ad22">
        <w:r>
          <w:rPr>
            <w:rStyle w:val="Hyperlink"/>
          </w:rPr>
          <w:t xml:space="preserve">§5. Reproducibility</w:t>
        </w:r>
      </w:hyperlink>
    </w:p>
    <w:bookmarkEnd w:id="9"/>
    <w:bookmarkStart w:id="10" w:name="X492da7a5ee3846cdef8c8de3201af08e4b3ece4"/>
    <w:p>
      <w:pPr>
        <w:pStyle w:val="Heading2"/>
      </w:pPr>
      <w:r>
        <w:t xml:space="preserve">§0. Purpose</w:t>
      </w:r>
    </w:p>
    <w:p>
      <w:pPr>
        <w:pStyle w:val="FirstParagraph"/>
      </w:pPr>
      <w:r>
        <w:t xml:space="preserve">Per Universal §11.4.74 (submodule-catalogue-first discovery), every new HRD MUST record a</w:t>
      </w:r>
      <w:r>
        <w:t xml:space="preserve"> </w:t>
      </w:r>
      <w:r>
        <w:rPr>
          <w:rStyle w:val="VerbatimChar"/>
        </w:rPr>
        <w:t xml:space="preserve">Catalogue-Check: reuse | extend | no-match</w:t>
      </w:r>
      <w:r>
        <w:t xml:space="preserve"> </w:t>
      </w:r>
      <w:r>
        <w:t xml:space="preserve">verdict per capability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Go code lands. This file is the evidence record for</w:t>
      </w:r>
      <w:r>
        <w:t xml:space="preserve"> </w:t>
      </w:r>
      <w:r>
        <w:rPr>
          <w:b/>
          <w:bCs/>
        </w:rPr>
        <w:t xml:space="preserve">HRD-092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</w:t>
      </w:r>
      <w:r>
        <w:rPr>
          <w:b/>
          <w:bCs/>
        </w:rPr>
        <w:t xml:space="preserve"> </w:t>
      </w:r>
      <w:r>
        <w:rPr>
          <w:b/>
          <w:bCs/>
        </w:rPr>
        <w:t xml:space="preserve">shared flavor-binary scaffold</w:t>
      </w:r>
      <w:r>
        <w:t xml:space="preserve"> </w:t>
      </w:r>
      <w:r>
        <w:t xml:space="preserve">(Wave 2 Task 1–4).</w:t>
      </w:r>
    </w:p>
    <w:bookmarkEnd w:id="10"/>
    <w:bookmarkStart w:id="11" w:name="Xf4a7604dfd0523b47931116010507411b222057"/>
    <w:p>
      <w:pPr>
        <w:pStyle w:val="Heading2"/>
      </w:pPr>
      <w:r>
        <w:t xml:space="preserve">§1. Method</w:t>
      </w:r>
    </w:p>
    <w:p>
      <w:pPr>
        <w:pStyle w:val="FirstParagraph"/>
      </w:pPr>
      <w:r>
        <w:t xml:space="preserve">Surveyed via</w:t>
      </w:r>
      <w:r>
        <w:t xml:space="preserve"> </w:t>
      </w:r>
      <w:r>
        <w:rPr>
          <w:rStyle w:val="VerbatimChar"/>
        </w:rPr>
        <w:t xml:space="preserve">gh repo 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gh api repos/&lt;org&gt;/&lt;name&gt;/contents/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gh repo list vasic-digital --limit 200</w:t>
      </w:r>
      <w:r>
        <w:t xml:space="preserve"> </w:t>
      </w:r>
      <w:r>
        <w:t xml:space="preserve">— looked for any repo whose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name mentioned Cobra, CLI scaffold, flavor binary, command framework.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gh repo list HelixDevelopment --limit 200</w:t>
      </w:r>
      <w:r>
        <w:t xml:space="preserve"> </w:t>
      </w:r>
      <w:r>
        <w:t xml:space="preserve">— same.</w:t>
      </w:r>
    </w:p>
    <w:p>
      <w:pPr>
        <w:pStyle w:val="Compact"/>
        <w:numPr>
          <w:ilvl w:val="0"/>
          <w:numId w:val="1002"/>
        </w:numPr>
      </w:pPr>
      <w:r>
        <w:t xml:space="preserve">Shortlist of probed candidates:</w:t>
      </w:r>
      <w:r>
        <w:t xml:space="preserve"> </w:t>
      </w:r>
      <w:r>
        <w:rPr>
          <w:rStyle w:val="VerbatimChar"/>
        </w:rPr>
        <w:t xml:space="preserve">vasic-digital/middleware</w:t>
      </w:r>
      <w:r>
        <w:t xml:space="preserve"> </w:t>
      </w:r>
      <w:r>
        <w:t xml:space="preserve">(HTTP only — no Cobra surface),</w:t>
      </w:r>
      <w:r>
        <w:t xml:space="preserve"> </w:t>
      </w:r>
      <w:r>
        <w:rPr>
          <w:rStyle w:val="VerbatimChar"/>
        </w:rPr>
        <w:t xml:space="preserve">vasic-digital/config</w:t>
      </w:r>
      <w:r>
        <w:t xml:space="preserve"> </w:t>
      </w:r>
      <w:r>
        <w:t xml:space="preserve">(configuration only),</w:t>
      </w:r>
      <w:r>
        <w:t xml:space="preserve"> </w:t>
      </w:r>
      <w:r>
        <w:rPr>
          <w:rStyle w:val="VerbatimChar"/>
        </w:rPr>
        <w:t xml:space="preserve">vasic-digital/observability</w:t>
      </w:r>
      <w:r>
        <w:t xml:space="preserve"> </w:t>
      </w:r>
      <w:r>
        <w:t xml:space="preserve">(metrics/tracing only),</w:t>
      </w:r>
      <w:r>
        <w:t xml:space="preserve"> </w:t>
      </w:r>
      <w:r>
        <w:rPr>
          <w:rStyle w:val="VerbatimChar"/>
        </w:rPr>
        <w:t xml:space="preserve">HelixDevelopment/HelixConstitution</w:t>
      </w:r>
      <w:r>
        <w:t xml:space="preserve"> </w:t>
      </w:r>
      <w:r>
        <w:t xml:space="preserve">(rule definitions, no CLI),</w:t>
      </w:r>
      <w:r>
        <w:t xml:space="preserve"> </w:t>
      </w:r>
      <w:r>
        <w:rPr>
          <w:rStyle w:val="VerbatimChar"/>
        </w:rPr>
        <w:t xml:space="preserve">HelixDevelopment/HelixAgent</w:t>
      </w:r>
      <w:r>
        <w:t xml:space="preserve"> </w:t>
      </w:r>
      <w:r>
        <w:t xml:space="preserve">(agent runtime, not a generic CLI scaffold). None expose a</w:t>
      </w:r>
      <w:r>
        <w:t xml:space="preserve"> </w:t>
      </w:r>
      <w:r>
        <w:rPr>
          <w:rStyle w:val="VerbatimChar"/>
        </w:rPr>
        <w:t xml:space="preserve">NewRootCmd(branding) + VersionCmd(branding) + ServeCmd(opts) + StubCmd(...)</w:t>
      </w:r>
      <w:r>
        <w:t xml:space="preserve"> </w:t>
      </w:r>
      <w:r>
        <w:t xml:space="preserve">Cobra surface keyed on Herald's</w:t>
      </w:r>
      <w:r>
        <w:t xml:space="preserve"> </w:t>
      </w:r>
      <w:r>
        <w:rPr>
          <w:rStyle w:val="VerbatimChar"/>
        </w:rPr>
        <w:t xml:space="preserve">commons.Branding</w:t>
      </w:r>
      <w:r>
        <w:t xml:space="preserve"> </w:t>
      </w:r>
      <w:r>
        <w:t xml:space="preserve">shape.</w:t>
      </w:r>
    </w:p>
    <w:p>
      <w:pPr>
        <w:pStyle w:val="FirstParagraph"/>
      </w:pPr>
      <w:r>
        <w:t xml:space="preserve">Survey ran 2026-05-21 between 09:30 and 10:00 local time, ahead of Wave 2 Task 1 implementation.</w:t>
      </w:r>
    </w:p>
    <w:bookmarkEnd w:id="11"/>
    <w:bookmarkStart w:id="12" w:name="X1a601d67969f2c9d6f3373afa93caf946e70135"/>
    <w:p>
      <w:pPr>
        <w:pStyle w:val="Heading2"/>
      </w:pPr>
      <w:r>
        <w:t xml:space="preserve">§2. Capability probed</w:t>
      </w:r>
    </w:p>
    <w:p>
      <w:pPr>
        <w:pStyle w:val="FirstParagraph"/>
      </w:pPr>
      <w:r>
        <w:t xml:space="preserve">Wave 2's shared scaffold needs to provide, for every</w:t>
      </w:r>
      <w:r>
        <w:t xml:space="preserve"> </w:t>
      </w:r>
      <w:r>
        <w:rPr>
          <w:rStyle w:val="VerbatimChar"/>
        </w:rPr>
        <w:t xml:space="preserve">&lt;prefix&gt;herald</w:t>
      </w:r>
      <w:r>
        <w:t xml:space="preserve"> </w:t>
      </w:r>
      <w:r>
        <w:t xml:space="preserve">flavor binary: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Root Cobra 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cli.NewRootCmd(branding)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*cobra.Command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branding.BinaryName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branding.DisplayName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branding.Mission</w:t>
      </w:r>
      <w:r>
        <w:t xml:space="preserve">, and the standard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--log-level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--log-format</w:t>
      </w:r>
      <w:r>
        <w:t xml:space="preserve"> </w:t>
      </w:r>
      <w:r>
        <w:t xml:space="preserve">persistent flags.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version</w:t>
      </w:r>
      <w:r>
        <w:rPr>
          <w:b/>
          <w:bCs/>
        </w:rPr>
        <w:t xml:space="preserve"> </w:t>
      </w:r>
      <w:r>
        <w:rPr>
          <w:b/>
          <w:bCs/>
        </w:rPr>
        <w:t xml:space="preserve">subcommand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cli.VersionCmd(branding)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*cobra.Command</w:t>
      </w:r>
      <w:r>
        <w:t xml:space="preserve"> </w:t>
      </w:r>
      <w:r>
        <w:t xml:space="preserve">that prints either human-readable (</w:t>
      </w:r>
      <w:r>
        <w:rPr>
          <w:rStyle w:val="VerbatimChar"/>
        </w:rPr>
        <w:t xml:space="preserve">pherald 1.0 · github.com/vasic-digital/Herald</w:t>
      </w:r>
      <w:r>
        <w:t xml:space="preserve">) or machine-readable (</w:t>
      </w:r>
      <w:r>
        <w:rPr>
          <w:rStyle w:val="VerbatimChar"/>
        </w:rPr>
        <w:t xml:space="preserve">--json</w:t>
      </w:r>
      <w:r>
        <w:t xml:space="preserve">) output with the full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shape (Flavor, Prefix, DisplayName, DefaultPort, Mission, version, build SHA).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serve</w:t>
      </w:r>
      <w:r>
        <w:rPr>
          <w:b/>
          <w:bCs/>
        </w:rPr>
        <w:t xml:space="preserve"> </w:t>
      </w:r>
      <w:r>
        <w:rPr>
          <w:b/>
          <w:bCs/>
        </w:rPr>
        <w:t xml:space="preserve">subcommand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cli.ServeCmd(opts)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*cobra.Command</w:t>
      </w:r>
      <w:r>
        <w:t xml:space="preserve"> </w:t>
      </w:r>
      <w:r>
        <w:t xml:space="preserve">that builds a Gin router from</w:t>
      </w:r>
      <w:r>
        <w:t xml:space="preserve"> </w:t>
      </w:r>
      <w:r>
        <w:rPr>
          <w:rStyle w:val="VerbatimChar"/>
        </w:rPr>
        <w:t xml:space="preserve">opts.Routes</w:t>
      </w:r>
      <w:r>
        <w:t xml:space="preserve">, applies</w:t>
      </w:r>
      <w:r>
        <w:t xml:space="preserve"> </w:t>
      </w:r>
      <w:r>
        <w:rPr>
          <w:rStyle w:val="VerbatimChar"/>
        </w:rPr>
        <w:t xml:space="preserve">opts.Middleware</w:t>
      </w:r>
      <w:r>
        <w:t xml:space="preserve">, mounts</w:t>
      </w:r>
      <w:r>
        <w:t xml:space="preserve"> </w:t>
      </w:r>
      <w:r>
        <w:rPr>
          <w:rStyle w:val="VerbatimChar"/>
        </w:rPr>
        <w:t xml:space="preserve">/v1/healthz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/v1/readyz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/v1/metrics</w:t>
      </w:r>
      <w:r>
        <w:t xml:space="preserve">, binds on</w:t>
      </w:r>
      <w:r>
        <w:t xml:space="preserve"> </w:t>
      </w:r>
      <w:r>
        <w:rPr>
          <w:rStyle w:val="VerbatimChar"/>
        </w:rPr>
        <w:t xml:space="preserve">opts.Port</w:t>
      </w:r>
      <w:r>
        <w:t xml:space="preserve"> </w:t>
      </w:r>
      <w:r>
        <w:t xml:space="preserve">(default =</w:t>
      </w:r>
      <w:r>
        <w:t xml:space="preserve"> </w:t>
      </w:r>
      <w:r>
        <w:rPr>
          <w:rStyle w:val="VerbatimChar"/>
        </w:rPr>
        <w:t xml:space="preserve">branding.DefaultPort</w:t>
      </w:r>
      <w:r>
        <w:t xml:space="preserve">), and traps SIGTERM for graceful shutdown.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Stub-route handler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cli.StubRouteHandler(hrdNumber)</w:t>
      </w:r>
      <w:r>
        <w:t xml:space="preserve"> </w:t>
      </w:r>
      <w:r>
        <w:t xml:space="preserve">returns a Gin handler that always responds</w:t>
      </w:r>
      <w:r>
        <w:t xml:space="preserve"> </w:t>
      </w:r>
      <w:r>
        <w:rPr>
          <w:rStyle w:val="VerbatimChar"/>
        </w:rPr>
        <w:t xml:space="preserve">501 Not Implemented</w:t>
      </w:r>
      <w:r>
        <w:t xml:space="preserve"> </w:t>
      </w:r>
      <w:r>
        <w:t xml:space="preserve">with a body pointing at the owning HRD (per §11.4.10 root-cause discipline — stubs MUST surface the HRD that will land the real implementation).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Stub Cobra subcommand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cli.StubCmd(name, hrdNumber)</w:t>
      </w:r>
      <w:r>
        <w:t xml:space="preserve"> </w:t>
      </w:r>
      <w:r>
        <w:t xml:space="preserve">for the §43.2 catalogue commands that are scaffolded ahead of their owning HRD.</w:t>
      </w:r>
    </w:p>
    <w:p>
      <w:pPr>
        <w:pStyle w:val="FirstParagraph"/>
      </w:pPr>
      <w:r>
        <w:t xml:space="preserve">The capability is</w:t>
      </w:r>
      <w:r>
        <w:t xml:space="preserve"> </w:t>
      </w:r>
      <w:r>
        <w:rPr>
          <w:b/>
          <w:bCs/>
        </w:rPr>
        <w:t xml:space="preserve">branding-keyed</w:t>
      </w:r>
      <w:r>
        <w:t xml:space="preserve"> </w:t>
      </w:r>
      <w:r>
        <w:t xml:space="preserve">— every output (Use/Short/Long, default port, version JSON shape) is derived from</w:t>
      </w:r>
      <w:r>
        <w:t xml:space="preserve"> </w:t>
      </w:r>
      <w:r>
        <w:rPr>
          <w:rStyle w:val="VerbatimChar"/>
        </w:rPr>
        <w:t xml:space="preserve">commons.Branding</w:t>
      </w:r>
      <w:r>
        <w:t xml:space="preserve">. A generic Cobra scaffold from elsewhere would not consume Herald's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shape.</w:t>
      </w:r>
    </w:p>
    <w:bookmarkEnd w:id="12"/>
    <w:bookmarkStart w:id="13" w:name="X61ade765e6050ea68920727309f7d83fd2834c6"/>
    <w:p>
      <w:pPr>
        <w:pStyle w:val="Heading2"/>
      </w:pPr>
      <w:r>
        <w:t xml:space="preserve">§3. Verdict + reasoning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rPr>
          <w:rStyle w:val="VerbatimChar"/>
        </w:rPr>
        <w:t xml:space="preserve">no-match → vendor as Herald-internal package commons/cli/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Reasoning:</w:t>
      </w:r>
    </w:p>
    <w:p>
      <w:pPr>
        <w:pStyle w:val="Compact"/>
        <w:numPr>
          <w:ilvl w:val="0"/>
          <w:numId w:val="1004"/>
        </w:numPr>
      </w:pPr>
      <w:r>
        <w:t xml:space="preserve">No external module in either surveyed org exposes a Cobra scaffold keyed on</w:t>
      </w:r>
      <w:r>
        <w:t xml:space="preserve"> </w:t>
      </w:r>
      <w:r>
        <w:rPr>
          <w:rStyle w:val="VerbatimChar"/>
        </w:rPr>
        <w:t xml:space="preserve">commons.Branding</w:t>
      </w:r>
      <w:r>
        <w:t xml:space="preserve">. Other Helix-stack modules (</w:t>
      </w:r>
      <w:r>
        <w:rPr>
          <w:rStyle w:val="VerbatimChar"/>
        </w:rPr>
        <w:t xml:space="preserve">vasic-digital/middleware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) are</w:t>
      </w:r>
      <w:r>
        <w:t xml:space="preserve"> </w:t>
      </w:r>
      <w:r>
        <w:rPr>
          <w:i/>
          <w:iCs/>
        </w:rPr>
        <w:t xml:space="preserve">libraries</w:t>
      </w:r>
      <w:r>
        <w:t xml:space="preserve"> </w:t>
      </w:r>
      <w:r>
        <w:t xml:space="preserve">that the scaffold</w:t>
      </w:r>
      <w:r>
        <w:t xml:space="preserve"> </w:t>
      </w:r>
      <w:r>
        <w:rPr>
          <w:i/>
          <w:iCs/>
        </w:rPr>
        <w:t xml:space="preserve">composes</w:t>
      </w:r>
      <w:r>
        <w:t xml:space="preserve"> </w:t>
      </w:r>
      <w:r>
        <w:t xml:space="preserve">— they are not themselves a CLI scaffold.</w:t>
      </w:r>
    </w:p>
    <w:p>
      <w:pPr>
        <w:pStyle w:val="Compact"/>
        <w:numPr>
          <w:ilvl w:val="0"/>
          <w:numId w:val="1004"/>
        </w:numPr>
      </w:pPr>
      <w:r>
        <w:t xml:space="preserve">Generic Cobra cookie-cutter generators (e.g.</w:t>
      </w:r>
      <w:r>
        <w:t xml:space="preserve"> </w:t>
      </w:r>
      <w:r>
        <w:rPr>
          <w:rStyle w:val="VerbatimChar"/>
        </w:rPr>
        <w:t xml:space="preserve">cobra-cli</w:t>
      </w:r>
      <w:r>
        <w:t xml:space="preserve">) emit one-shot boilerplate; they don't carry the Wave 2 contract (branding-keyed JSON version shape, branding-keyed default port, paired Gin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 </w:t>
      </w:r>
      <w:r>
        <w:t xml:space="preserve">hook for serve, HRD-pointer 501 stubs).</w:t>
      </w:r>
    </w:p>
    <w:p>
      <w:pPr>
        <w:pStyle w:val="Compact"/>
        <w:numPr>
          <w:ilvl w:val="0"/>
          <w:numId w:val="1004"/>
        </w:numPr>
      </w:pPr>
      <w:r>
        <w:t xml:space="preserve">Building the scaffold inside Herald keeps it tightly coupled to the</w:t>
      </w:r>
      <w:r>
        <w:t xml:space="preserve"> </w:t>
      </w:r>
      <w:r>
        <w:rPr>
          <w:rStyle w:val="VerbatimChar"/>
        </w:rPr>
        <w:t xml:space="preserve">commons.Branding</w:t>
      </w:r>
      <w:r>
        <w:t xml:space="preserve"> </w:t>
      </w:r>
      <w:r>
        <w:t xml:space="preserve">shape — when Wave 3 adds new Branding fields, the scaffold updates in lockstep with no cross-repo dependency lag.</w:t>
      </w:r>
    </w:p>
    <w:p>
      <w:pPr>
        <w:pStyle w:val="Compact"/>
        <w:numPr>
          <w:ilvl w:val="0"/>
          <w:numId w:val="1004"/>
        </w:numPr>
      </w:pPr>
      <w:r>
        <w:t xml:space="preserve">The scaffold is small (~400 LOC + 7 unit tests). Vendoring is the right call vs. spinning up a separate</w:t>
      </w:r>
      <w:r>
        <w:t xml:space="preserve"> </w:t>
      </w:r>
      <w:r>
        <w:rPr>
          <w:rStyle w:val="VerbatimChar"/>
        </w:rPr>
        <w:t xml:space="preserve">vasic-digital/cobra-scaffold</w:t>
      </w:r>
      <w:r>
        <w:t xml:space="preserve"> </w:t>
      </w:r>
      <w:r>
        <w:t xml:space="preserve">repo for a Herald-specific contract.</w:t>
      </w:r>
    </w:p>
    <w:bookmarkEnd w:id="13"/>
    <w:bookmarkStart w:id="14" w:name="X6d6ba267570cf7c5a93464c8abf20cf7ca58660"/>
    <w:p>
      <w:pPr>
        <w:pStyle w:val="Heading2"/>
      </w:pPr>
      <w:r>
        <w:t xml:space="preserve">§4. As-built evidence</w:t>
      </w:r>
    </w:p>
    <w:p>
      <w:pPr>
        <w:pStyle w:val="FirstParagraph"/>
      </w:pPr>
      <w:r>
        <w:t xml:space="preserve">Wave 2 (r8) landed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in commit range</w:t>
      </w:r>
      <w:r>
        <w:t xml:space="preserve"> </w:t>
      </w:r>
      <w:r>
        <w:rPr>
          <w:rStyle w:val="VerbatimChar"/>
        </w:rPr>
        <w:t xml:space="preserve">7e0a614..37e348e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Package files:</w:t>
      </w:r>
      <w:r>
        <w:t xml:space="preserve"> </w:t>
      </w:r>
      <w:r>
        <w:rPr>
          <w:rStyle w:val="VerbatimChar"/>
        </w:rPr>
        <w:t xml:space="preserve">commons/cli/root.go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stub.go</w:t>
      </w:r>
      <w:r>
        <w:t xml:space="preserve"> </w:t>
      </w:r>
      <w:r>
        <w:t xml:space="preserve">(~400 LOC total).</w:t>
      </w:r>
    </w:p>
    <w:p>
      <w:pPr>
        <w:pStyle w:val="Compact"/>
        <w:numPr>
          <w:ilvl w:val="0"/>
          <w:numId w:val="1005"/>
        </w:numPr>
      </w:pPr>
      <w:r>
        <w:t xml:space="preserve">Unit tests: 7 tests, all PASS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Consumed by all 7 flavor binaries: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scherald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cmd/&lt;flavor&gt;/main.go</w:t>
      </w:r>
      <w:r>
        <w:t xml:space="preserve"> </w:t>
      </w:r>
      <w:r>
        <w:t xml:space="preserve">is ~25–30 LOC.</w:t>
      </w:r>
    </w:p>
    <w:p>
      <w:pPr>
        <w:pStyle w:val="Compact"/>
        <w:numPr>
          <w:ilvl w:val="0"/>
          <w:numId w:val="1005"/>
        </w:numPr>
      </w:pPr>
      <w:r>
        <w:t xml:space="preserve">Verified by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invariants E19–E33 (33 PASS / 0 FAIL / 3 SKIP).</w:t>
      </w:r>
    </w:p>
    <w:p>
      <w:pPr>
        <w:pStyle w:val="Compact"/>
        <w:numPr>
          <w:ilvl w:val="0"/>
          <w:numId w:val="1005"/>
        </w:numPr>
      </w:pPr>
      <w:r>
        <w:t xml:space="preserve">Paired §1.1 mutation gate:</w:t>
      </w:r>
      <w:r>
        <w:t xml:space="preserve"> </w:t>
      </w:r>
      <w:r>
        <w:rPr>
          <w:rStyle w:val="VerbatimChar"/>
        </w:rPr>
        <w:t xml:space="preserve">tests/test_wave2_mutation_meta.sh</w:t>
      </w:r>
      <w:r>
        <w:t xml:space="preserve"> </w:t>
      </w:r>
      <w:r>
        <w:t xml:space="preserve">(4/4 PASS).</w:t>
      </w:r>
    </w:p>
    <w:p>
      <w:pPr>
        <w:pStyle w:val="Compact"/>
        <w:numPr>
          <w:ilvl w:val="0"/>
          <w:numId w:val="1005"/>
        </w:numPr>
      </w:pPr>
      <w:r>
        <w:t xml:space="preserve">Inheritance gate: 15/15 PASS.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docs/specs/mvp/archive/specification.V3.md</w:t>
      </w:r>
      <w:r>
        <w:t xml:space="preserve"> </w:t>
      </w:r>
      <w:r>
        <w:t xml:space="preserve">§44.M for the full Wave 2 milestone evidence (the §44.M content is preserved in the archived V3; the active spec is now V4).</w:t>
      </w:r>
    </w:p>
    <w:bookmarkEnd w:id="14"/>
    <w:bookmarkStart w:id="15" w:name="Xc15ecb880f212eb923d0715a73aef514d42ad22"/>
    <w:p>
      <w:pPr>
        <w:pStyle w:val="Heading2"/>
      </w:pPr>
      <w:r>
        <w:t xml:space="preserve">§5. Reproducibility</w:t>
      </w:r>
    </w:p>
    <w:p>
      <w:pPr>
        <w:pStyle w:val="FirstParagraph"/>
      </w:pPr>
      <w:r>
        <w:t xml:space="preserve">To re-run this catalogue-check: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list vasic-digital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'cobra|cli|scaffold|flavor'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list HelixDevelopment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'cobra|cli|scaffold|flavor'</w:t>
      </w:r>
      <w:r>
        <w:br/>
      </w:r>
      <w:r>
        <w:rPr>
          <w:rStyle w:val="CommentTok"/>
        </w:rPr>
        <w:t xml:space="preserve"># For each candidate: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repos/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/contents/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'.[].name'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look for cobra.go / root.go / cli/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repos/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/contents/go.mod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'.content'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cobra</w:t>
      </w:r>
    </w:p>
    <w:p>
      <w:pPr>
        <w:pStyle w:val="FirstParagraph"/>
      </w:pPr>
      <w:r>
        <w:t xml:space="preserve">No probe surfaced a Cobra scaffold keyed on a branding shape compatible with Herald's</w:t>
      </w:r>
      <w:r>
        <w:t xml:space="preserve"> </w:t>
      </w:r>
      <w:r>
        <w:rPr>
          <w:rStyle w:val="VerbatimChar"/>
        </w:rPr>
        <w:t xml:space="preserve">commons.Branding</w:t>
      </w:r>
      <w:r>
        <w:t xml:space="preserve">. Verdict unchanged: vendor as Herald-internal.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2026-05-31T07:39:46Z</dcterms:created>
  <dcterms:modified xsi:type="dcterms:W3CDTF">2026-05-31T07:39:46Z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