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8"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19</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r19: propagated HelixConstitution §11.4.106 (Docs Chain documentation-sync mandate, 2026-05-29) into the inherited-covenant cluster as a short-form restatement citing the literal anchor</w:t>
            </w:r>
            <w:r>
              <w:rPr>
                <w:b/>
                <w:bCs/>
              </w:rPr>
              <w:t xml:space="preserve"> </w:t>
            </w:r>
            <w:r>
              <w:rPr>
                <w:rStyle w:val="VerbatimChar"/>
                <w:b/>
                <w:bCs/>
              </w:rPr>
              <w:t xml:space="preserve">11.4.106</w:t>
            </w:r>
            <w:r>
              <w:rPr>
                <w:b/>
                <w:bCs/>
              </w:rPr>
              <w:t xml:space="preserve">, inherited per §11.4.35. Herald-applicability classification: APPLICABLE (integration in progress) — Docs Chain mechanizes Herald's ~76-doc html/pdf/docx sibling sync (today regen-all</w:t>
            </w:r>
            <w:r>
              <w:rPr>
                <w:b/>
                <w:bCs/>
              </w:rPr>
              <w:t xml:space="preserve"> </w:t>
            </w:r>
            <w:r>
              <w:rPr>
                <w:rStyle w:val="VerbatimChar"/>
                <w:b/>
                <w:bCs/>
              </w:rPr>
              <w:t xml:space="preserve">scripts/export_docs.sh</w:t>
            </w:r>
            <w:r>
              <w:rPr>
                <w:b/>
                <w:bCs/>
              </w:rPr>
              <w:t xml:space="preserve">) via</w:t>
            </w:r>
            <w:r>
              <w:rPr>
                <w:b/>
                <w:bCs/>
              </w:rPr>
              <w:t xml:space="preserve"> </w:t>
            </w:r>
            <w:r>
              <w:rPr>
                <w:rStyle w:val="VerbatimChar"/>
                <w:b/>
                <w:bCs/>
              </w:rPr>
              <w:t xml:space="preserve">exec:</w:t>
            </w:r>
            <w:r>
              <w:rPr>
                <w:b/>
                <w:bCs/>
              </w:rPr>
              <w:t xml:space="preserve"> </w:t>
            </w:r>
            <w:r>
              <w:rPr>
                <w:b/>
                <w:bCs/>
              </w:rPr>
              <w:t xml:space="preserve">transforms preserving Herald's exact logo-CSS pandoc flags; cites the migration plan</w:t>
            </w:r>
            <w:r>
              <w:rPr>
                <w:b/>
                <w:bCs/>
              </w:rPr>
              <w:t xml:space="preserve"> </w:t>
            </w:r>
            <w:r>
              <w:rPr>
                <w:rStyle w:val="VerbatimChar"/>
                <w:b/>
                <w:bCs/>
              </w:rPr>
              <w:t xml:space="preserve">docs/research/docs_chain/HERALD_DOCS_CHAIN_PLAN.md</w:t>
            </w:r>
            <w:r>
              <w:rPr>
                <w:b/>
                <w:bCs/>
              </w:rPr>
              <w:t xml:space="preserve">, the planned</w:t>
            </w:r>
            <w:r>
              <w:rPr>
                <w:b/>
                <w:bCs/>
              </w:rPr>
              <w:t xml:space="preserve"> </w:t>
            </w:r>
            <w:r>
              <w:rPr>
                <w:rStyle w:val="VerbatimChar"/>
                <w:b/>
                <w:bCs/>
              </w:rPr>
              <w:t xml:space="preserve">verify</w:t>
            </w:r>
            <w:r>
              <w:rPr>
                <w:b/>
                <w:bCs/>
              </w:rPr>
              <w:t xml:space="preserve"> </w:t>
            </w:r>
            <w:r>
              <w:rPr>
                <w:b/>
                <w:bCs/>
              </w:rPr>
              <w:t xml:space="preserve">drift-gate E146, and the honest open prerequisites (Phase-4 CLI landed 2026-05-31; exec-staging relative-asset gap G6; binary-hash</w:t>
            </w:r>
            <w:r>
              <w:rPr>
                <w:b/>
                <w:bCs/>
              </w:rPr>
              <w:t xml:space="preserve"> </w:t>
            </w:r>
            <w:r>
              <w:rPr>
                <w:rStyle w:val="VerbatimChar"/>
                <w:b/>
                <w:bCs/>
              </w:rPr>
              <w:t xml:space="preserve">verify</w:t>
            </w:r>
            <w:r>
              <w:rPr>
                <w:b/>
                <w:bCs/>
              </w:rPr>
              <w:t xml:space="preserve"> </w:t>
            </w:r>
            <w:r>
              <w:rPr>
                <w:b/>
                <w:bCs/>
              </w:rPr>
              <w:t xml:space="preserve">defect found by dogfooding, fix in flight). Restated + cited, not redefined; anchor now present in CLAUDE.md/AGENTS.md/QWEN.md/HERALD_CONSTITUTION.md §108.p. Prior r18: propagated the intent-recognition mandate (operator 2026-05-31) as a short-form restatement — new "Intent recognition &amp; clarification" section + ToC entry — citing the authoritative contract</w:t>
            </w:r>
            <w:r>
              <w:rPr>
                <w:b/>
                <w:bCs/>
              </w:rPr>
              <w:t xml:space="preserve"> </w:t>
            </w:r>
            <w:r>
              <w:rPr>
                <w:rStyle w:val="VerbatimChar"/>
                <w:b/>
                <w:bCs/>
              </w:rPr>
              <w:t xml:space="preserve">docs/design/INTENT_RECOGNITION.md</w:t>
            </w:r>
            <w:r>
              <w:rPr>
                <w:b/>
                <w:bCs/>
              </w:rPr>
              <w:t xml:space="preserve"> </w:t>
            </w:r>
            <w:r>
              <w:rPr>
                <w:b/>
                <w:bCs/>
              </w:rPr>
              <w:t xml:space="preserve">and noting inheritance from HelixConstitution §11.4.105 (the root-§ being added on the constitution stream), inherited per §11.4.35. Covers: subscribers speak plain natural language (NO command syntax, no</w:t>
            </w:r>
            <w:r>
              <w:rPr>
                <w:b/>
                <w:bCs/>
              </w:rPr>
              <w:t xml:space="preserve"> </w:t>
            </w:r>
            <w:r>
              <w:rPr>
                <w:rStyle w:val="VerbatimChar"/>
                <w:b/>
                <w:bCs/>
              </w:rPr>
              <w:t xml:space="preserve">COMMAND:</w:t>
            </w:r>
            <w:r>
              <w:rPr>
                <w:b/>
                <w:bCs/>
              </w:rPr>
              <w:t xml:space="preserve"> </w:t>
            </w:r>
            <w:r>
              <w:rPr>
                <w:b/>
                <w:bCs/>
              </w:rPr>
              <w:t xml:space="preserve">prefix); three-tier resolution (Tier 1 deterministic CommandRecognizer fast-path → Tier 2 LLM intent inference via the</w:t>
            </w:r>
            <w:r>
              <w:rPr>
                <w:b/>
                <w:bCs/>
              </w:rPr>
              <w:t xml:space="preserve"> </w:t>
            </w:r>
            <w:r>
              <w:rPr>
                <w:rStyle w:val="VerbatimChar"/>
                <w:b/>
                <w:bCs/>
              </w:rPr>
              <w:t xml:space="preserve">&lt;&lt;&lt;HERALD-DISPATCH-v1&gt;&gt;&gt;</w:t>
            </w:r>
            <w:r>
              <w:rPr>
                <w:b/>
                <w:bCs/>
              </w:rPr>
              <w:t xml:space="preserve"> </w:t>
            </w:r>
            <w:r>
              <w:rPr>
                <w:b/>
                <w:bCs/>
              </w:rPr>
              <w:t xml:space="preserve">envelope → Tier 3</w:t>
            </w:r>
            <w:r>
              <w:rPr>
                <w:b/>
                <w:bCs/>
              </w:rPr>
              <w:t xml:space="preserve"> </w:t>
            </w:r>
            <w:r>
              <w:rPr>
                <w:rStyle w:val="VerbatimChar"/>
                <w:b/>
                <w:bCs/>
              </w:rPr>
              <w:t xml:space="preserve">action="clarify"</w:t>
            </w:r>
            <w:r>
              <w:rPr>
                <w:b/>
                <w:bCs/>
              </w:rPr>
              <w:t xml:space="preserve"> </w:t>
            </w:r>
            <w:r>
              <w:rPr>
                <w:b/>
                <w:bCs/>
              </w:rPr>
              <w:t xml:space="preserve">reply-tag-and-ask fallback via the §11.4.104 IdentityResolver); never guess an action, never ignore a message. Restated + cited, not redefined.</w:t>
            </w:r>
            <w:r>
              <w:t xml:space="preserve"> </w:t>
            </w:r>
            <w:r>
              <w:t xml:space="preserve">Prior r17: propagated the participant/attribution/tagging mandate (operator 2026-05-31)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r16: propagated HelixConstitution §11.4.100 (Video color + visual-quality fidelity mandate, 2026-05-28) as a short-form restatement citing the literal anchor</w:t>
            </w:r>
            <w:r>
              <w:t xml:space="preserve"> </w:t>
            </w:r>
            <w:r>
              <w:rPr>
                <w:rStyle w:val="VerbatimChar"/>
              </w:rPr>
              <w:t xml:space="preserve">11.4.100</w:t>
            </w:r>
            <w:r>
              <w:t xml:space="preserve">, inherited per §11.4.35; restated + cited, not redefined. Herald-applicability classification: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t xml:space="preserve"> </w:t>
            </w:r>
            <w:r>
              <w:rPr>
                <w:rStyle w:val="VerbatimChar"/>
              </w:rPr>
              <w:t xml:space="preserve">CM-COVENANT-114-100-PROPAGATION</w:t>
            </w:r>
            <w:r>
              <w:t xml:space="preserve"> </w:t>
            </w:r>
            <w: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X588b8229d334efe5242f74fa787f09d03d470be">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0"/>
          <w:numId w:val="1001"/>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docs/specs/mvp/specification.V4.md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docs/specs/mvp/specification.V4.md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4" w:name="X51a03705041253741c9434580a22d24bb00c340"/>
    <w:p>
      <w:pPr>
        <w:pStyle w:val="Heading2"/>
      </w:pPr>
      <w:r>
        <w:t xml:space="preserve">Inherited covenant restatements — Helix §11.4.85 / §11.4.87 / §11.4.88 / §11.4.89 / §11.4.90 / §11.4.91 / §11.4.92 / §11.4.93 / §11.4.94 / §11.4.95 / §11.4.96 / §11.4.97 / §11.4.98 / §11.4.99 / §11.4.100 / §11.4.106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Start w:id="33" w:name="X48159e79f8ee5591c5fb95b389835eff61059b0"/>
    <w:p>
      <w:pPr>
        <w:pStyle w:val="Heading3"/>
      </w:pPr>
      <w:r>
        <w:t xml:space="preserve">§11.4.106 — Docs Chain documentation-sync mandate — derived doc artefacts MUST be kept in sync via the shared Docs Chain engine, never ad-hoc (Helix, 2026-05-29)</w:t>
      </w:r>
    </w:p>
    <w:p>
      <w:pPr>
        <w:pStyle w:val="FirstParagraph"/>
      </w:pPr>
      <w:r>
        <w:t xml:space="preserve">Universal mandate: the documentation-sync obligations (Issues_Summary parity §11.4.12, Fixed_Summary §11.4.53, Status/Status_Summary §11.4.45/§11.4.56, README doc-link + always-sync export §11.4.57/§11.4.59, universal markdown→html/pdf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through the constitution submodule (Phase-6 distribution is operator-gated per §11.4.66). A consuming project registers its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honest rollback, exit 3) and</w:t>
      </w:r>
      <w:r>
        <w:t xml:space="preserve"> </w:t>
      </w:r>
      <w:r>
        <w:rPr>
          <w:b/>
          <w:bCs/>
        </w:rPr>
        <w:t xml:space="preserve">refuses silent merges</w:t>
      </w:r>
      <w:r>
        <w:t xml:space="preserve"> </w:t>
      </w:r>
      <w:r>
        <w:t xml:space="preserve">(both-dirty → conflict, exit 2), making §11.4.6 no-guessing + §11.4.50 deterministic-consistency mechanical rather than aspirational.</w:t>
      </w:r>
      <w:r>
        <w:t xml:space="preserve"> </w:t>
      </w:r>
      <w:r>
        <w:rPr>
          <w:b/>
          <w:bCs/>
        </w:rPr>
        <w:t xml:space="preserve">Herald applicability: APPLICABLE (integration in progress).</w:t>
      </w:r>
      <w:r>
        <w:t xml:space="preserve"> </w:t>
      </w:r>
      <w:r>
        <w:t xml:space="preserve">Herald's ~76 markdown docs each carry html/pdf/docx siblings produced today by the regen-all</w:t>
      </w:r>
      <w:r>
        <w:t xml:space="preserve"> </w:t>
      </w:r>
      <w:r>
        <w:rPr>
          <w:rStyle w:val="VerbatimChar"/>
        </w:rPr>
        <w:t xml:space="preserve">scripts/export_docs.sh</w:t>
      </w:r>
      <w:r>
        <w:t xml:space="preserve">; the migration plan (</w:t>
      </w:r>
      <w:hyperlink r:id="rId32">
        <w:r>
          <w:rPr>
            <w:rStyle w:val="VerbatimChar"/>
          </w:rPr>
          <w:t xml:space="preserve">docs/research/docs_chain/HERALD_DOCS_CHAIN_PLAN.md</w:t>
        </w:r>
      </w:hyperlink>
      <w:r>
        <w:t xml:space="preserve">) wires them via docs_chain</w:t>
      </w:r>
      <w:r>
        <w:t xml:space="preserve"> </w:t>
      </w:r>
      <w:r>
        <w:rPr>
          <w:rStyle w:val="VerbatimChar"/>
        </w:rPr>
        <w:t xml:space="preserve">exec:</w:t>
      </w:r>
      <w:r>
        <w:t xml:space="preserve"> </w:t>
      </w:r>
      <w:r>
        <w:t xml:space="preserve">transforms (preserving Herald's exact logo-CSS pandoc flags — byte-compatible, zero regen-drift across ~223 siblings) to gain incremental recompute + a</w:t>
      </w:r>
      <w:r>
        <w:t xml:space="preserve"> </w:t>
      </w:r>
      <w:r>
        <w:rPr>
          <w:rStyle w:val="VerbatimChar"/>
        </w:rPr>
        <w:t xml:space="preserve">verify</w:t>
      </w:r>
      <w:r>
        <w:t xml:space="preserve"> </w:t>
      </w:r>
      <w:r>
        <w:t xml:space="preserve">drift-gate (planned e2e invariant E146). Pending: the Phase-4 CLI (landed 2026-05-31), the exec-staging relative-asset contract (gap G6), and the binary-hash</w:t>
      </w:r>
      <w:r>
        <w:t xml:space="preserve"> </w:t>
      </w:r>
      <w:r>
        <w:rPr>
          <w:rStyle w:val="VerbatimChar"/>
        </w:rPr>
        <w:t xml:space="preserve">verify</w:t>
      </w:r>
      <w:r>
        <w:t xml:space="preserve"> </w:t>
      </w:r>
      <w:r>
        <w:t xml:space="preserve">fix found by dogfooding (binary node-kinds were hashed inconsistently between the sync-record and verify-check paths). Cascade-pattern parallel: §11.4.96 ("Herald has no AOSP build, but the principle binds") — restatement-with-applicability-and-cite shape. Inheritance per §11.4.35 with literal anchor</w:t>
      </w:r>
      <w:r>
        <w:t xml:space="preserve"> </w:t>
      </w:r>
      <w:r>
        <w:rPr>
          <w:rStyle w:val="VerbatimChar"/>
        </w:rPr>
        <w:t xml:space="preserve">11.4.106</w:t>
      </w:r>
      <w:r>
        <w:t xml:space="preserve"> </w:t>
      </w:r>
      <w:r>
        <w:t xml:space="preserve">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33"/>
    <w:bookmarkEnd w:id="34"/>
    <w:bookmarkStart w:id="36" w:name="X588b8229d334efe5242f74fa787f09d03d470be"/>
    <w:p>
      <w:pPr>
        <w:pStyle w:val="Heading2"/>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from HelixConstitution per §11.4.35)</w:t>
      </w:r>
    </w:p>
    <w:p>
      <w:pPr>
        <w:pStyle w:val="FirstParagraph"/>
      </w:pPr>
      <w:r>
        <w:rPr>
          <w:b/>
          <w:bCs/>
        </w:rPr>
        <w:t xml:space="preserve">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attribution;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implementation stream codes against is</w:t>
      </w:r>
      <w:r>
        <w:t xml:space="preserve"> </w:t>
      </w:r>
      <w:hyperlink r:id="rId35">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Herald restates + cites, it does NOT redefine or weaken.</w:t>
      </w:r>
    </w:p>
    <w:p>
      <w:pPr>
        <w:pStyle w:val="Compact"/>
        <w:numPr>
          <w:ilvl w:val="0"/>
          <w:numId w:val="1007"/>
        </w:numPr>
      </w:pPr>
      <w:r>
        <w:rPr>
          <w:b/>
          <w:bCs/>
        </w:rPr>
        <w:t xml:space="preserve">Identity model.</w:t>
      </w:r>
      <w:r>
        <w:t xml:space="preserve"> </w:t>
      </w:r>
      <w:r>
        <w:t xml:space="preserve">A Participant is 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used for tagging, distinct from</w:t>
      </w:r>
      <w:r>
        <w:t xml:space="preserve"> </w:t>
      </w:r>
      <w:r>
        <w:rPr>
          <w:rStyle w:val="VerbatimChar"/>
        </w:rPr>
        <w:t xml:space="preserve">channel_user_id</w:t>
      </w:r>
      <w:r>
        <w:t xml:space="preserve">). The</w:t>
      </w:r>
      <w:r>
        <w:t xml:space="preserve"> </w:t>
      </w:r>
      <w:r>
        <w:rPr>
          <w:b/>
          <w:bCs/>
        </w:rPr>
        <w:t xml:space="preserve">canonical handle</w:t>
      </w:r>
      <w:r>
        <w:t xml:space="preserve"> </w:t>
      </w:r>
      <w:r>
        <w:t xml:space="preserve">(the string stored in</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but is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who drives the system via the Claude Code CLI is designated by env var, NOT a DB flag:</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w:t>
      </w:r>
      <w:r>
        <w:rPr>
          <w:rStyle w:val="VerbatimChar"/>
        </w:rPr>
        <w:t xml:space="preserve">HERALD_SLACK_OPERATOR_USERNAME</w:t>
      </w:r>
      <w:r>
        <w:t xml:space="preserve">, …). The operator's canonical handle equals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 (a subscriber message).</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columns store the canonical handle string.</w:t>
      </w:r>
    </w:p>
    <w:p>
      <w:pPr>
        <w:pStyle w:val="Compact"/>
        <w:numPr>
          <w:ilvl w:val="0"/>
          <w:numId w:val="1007"/>
        </w:numPr>
      </w:pPr>
      <w:r>
        <w:rPr>
          <w:b/>
          <w:bCs/>
        </w:rPr>
        <w:t xml:space="preserve">Tagging matrix.</w:t>
      </w:r>
      <w:r>
        <w:t xml:space="preserve"> </w:t>
      </w:r>
      <w:r>
        <w:t xml:space="preserve">On any workable-item event, the notification to each channel @-mentions: the</w:t>
      </w:r>
      <w:r>
        <w:t xml:space="preserve"> </w:t>
      </w:r>
      <w:r>
        <w:rPr>
          <w:rStyle w:val="VerbatimChar"/>
        </w:rPr>
        <w:t xml:space="preserve">assigned_to</w:t>
      </w:r>
      <w:r>
        <w:t xml:space="preserve"> </w:t>
      </w:r>
      <w:r>
        <w:t xml:space="preserve">handle if it is a human AND ≠ Operator; the</w:t>
      </w:r>
      <w:r>
        <w:t xml:space="preserve"> </w:t>
      </w:r>
      <w:r>
        <w:rPr>
          <w:rStyle w:val="VerbatimChar"/>
        </w:rPr>
        <w:t xml:space="preserve">created_by</w:t>
      </w:r>
      <w:r>
        <w:t xml:space="preserve"> </w:t>
      </w:r>
      <w:r>
        <w:t xml:space="preserve">handle if it is a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is NEVER tagged (it is the system); the Operator is NEVER tagged (no self-ping). De-dup, then resolve each handle to that channel's</w:t>
      </w:r>
      <w:r>
        <w:t xml:space="preserve"> </w:t>
      </w:r>
      <w:r>
        <w:rPr>
          <w:rStyle w:val="VerbatimChar"/>
        </w:rPr>
        <w:t xml:space="preserve">@username</w:t>
      </w:r>
      <w:r>
        <w:t xml:space="preserve"> </w:t>
      </w:r>
      <w:r>
        <w:t xml:space="preserve">(skip if the participant has no alias on that channel). Concretely: assigned-to-Operator → no tag; opened-by-Operator-assigned-to-another → tag the assignee; opened-by-a-non-Operator-non-Claude subscriber → tag them.</w:t>
      </w:r>
    </w:p>
    <w:p>
      <w:pPr>
        <w:pStyle w:val="FirstParagraph"/>
      </w:pPr>
      <w:r>
        <w:t xml:space="preserve">The anti-bluff covenant (§107 / Helix §11.4) is a hard precondition of every PASS for this feature — every layer ships unit + integration + E2E + full-automation tests producing real captured evidence under</w:t>
      </w:r>
      <w:r>
        <w:t xml:space="preserve"> </w:t>
      </w:r>
      <w:r>
        <w:rPr>
          <w:rStyle w:val="VerbatimChar"/>
        </w:rPr>
        <w:t xml:space="preserve">docs/qa/&lt;run-id&gt;/</w:t>
      </w:r>
      <w:r>
        <w:t xml:space="preserve"> </w:t>
      </w:r>
      <w:r>
        <w:t xml:space="preserve">(the tagging matrix proven by a truth-table test with a per-cell mutation, plus a NEGATIVE case proving the Operator is NOT tagged).</w:t>
      </w:r>
    </w:p>
    <w:bookmarkEnd w:id="36"/>
    <w:bookmarkStart w:id="38" w:name="X97a0253dc914108e533ee6c212b9c2edeabc207"/>
    <w:p>
      <w:pPr>
        <w:pStyle w:val="Heading2"/>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Operator mandate (2026-05-31).</w:t>
      </w:r>
      <w:r>
        <w:t xml:space="preserve"> </w:t>
      </w:r>
      <w:r>
        <w:t xml:space="preserve">Subscribers must</w:t>
      </w:r>
      <w:r>
        <w:t xml:space="preserve"> </w:t>
      </w:r>
      <w:r>
        <w:rPr>
          <w:b/>
          <w:bCs/>
        </w:rPr>
        <w:t xml:space="preserve">NOT</w:t>
      </w:r>
      <w:r>
        <w:t xml:space="preserve"> </w:t>
      </w:r>
      <w:r>
        <w:t xml:space="preserve">need to know command syntax — there is no</w:t>
      </w:r>
      <w:r>
        <w:t xml:space="preserve"> </w:t>
      </w:r>
      <w:r>
        <w:rPr>
          <w:rStyle w:val="VerbatimChar"/>
        </w:rPr>
        <w:t xml:space="preserve">COMMAND:</w:t>
      </w:r>
      <w:r>
        <w:t xml:space="preserve"> </w:t>
      </w:r>
      <w:r>
        <w:t xml:space="preserve">prefix and no fixed grammar. A subscriber sends a clear natural-language message;</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implementation stream codes against is</w:t>
      </w:r>
      <w:r>
        <w:t xml:space="preserve"> </w:t>
      </w:r>
      <w:hyperlink r:id="rId37">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Herald restates + cites, it does NOT redefine or weaken.</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needed). It is deliberately CONSERVATIVE — only a confident match (clear imperative verb + resolvable target)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 the resolution is</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Tier 3 is the anti-annoyance guarantee — the subscriber is never silently dropped and never has to learn syntax; at worst they get a friendly, specific "@user, did you mean X or Y?".</w:t>
      </w:r>
    </w:p>
    <w:p>
      <w:pPr>
        <w:pStyle w:val="Compact"/>
        <w:numPr>
          <w:ilvl w:val="0"/>
          <w:numId w:val="1008"/>
        </w:numPr>
      </w:pPr>
      <w:r>
        <w:rPr>
          <w:b/>
          <w:bCs/>
        </w:rPr>
        <w:t xml:space="preserve">Command set (Tier 1).</w:t>
      </w:r>
      <w:r>
        <w:t xml:space="preserve"> </w:t>
      </w:r>
      <w:r>
        <w:t xml:space="preserve">Natural-language imperatives map (case-insensitive, phrasing-tolerant) to the existing inbound actions: close/mark-done/assign/status-change →</w:t>
      </w:r>
      <w:r>
        <w:t xml:space="preserve"> </w:t>
      </w:r>
      <w:r>
        <w:rPr>
          <w:rStyle w:val="VerbatimChar"/>
        </w:rPr>
        <w:t xml:space="preserve">item.update</w:t>
      </w:r>
      <w:r>
        <w:t xml:space="preserve">; "open a bug/task/feature: …" →</w:t>
      </w:r>
      <w:r>
        <w:t xml:space="preserve"> </w:t>
      </w:r>
      <w:r>
        <w:rPr>
          <w:rStyle w:val="VerbatimChar"/>
        </w:rPr>
        <w:t xml:space="preserve">issue.open</w:t>
      </w:r>
      <w:r>
        <w:t xml:space="preserve"> </w:t>
      </w:r>
      <w:r>
        <w:t xml:space="preserve">(created_by=sender); "investigate ATM-N" →</w:t>
      </w:r>
      <w:r>
        <w:t xml:space="preserve"> </w:t>
      </w:r>
      <w:r>
        <w:rPr>
          <w:rStyle w:val="VerbatimChar"/>
        </w:rPr>
        <w:t xml:space="preserve">investigation.start</w:t>
      </w:r>
      <w:r>
        <w:t xml:space="preserve">; a question / conversational text →</w:t>
      </w:r>
      <w:r>
        <w:t xml:space="preserve"> </w:t>
      </w:r>
      <w:r>
        <w:rPr>
          <w:rStyle w:val="VerbatimChar"/>
        </w:rPr>
        <w:t xml:space="preserve">reply</w:t>
      </w:r>
      <w:r>
        <w:t xml:space="preserve">; genuinely ambiguous →</w:t>
      </w:r>
      <w:r>
        <w:t xml:space="preserve"> </w:t>
      </w:r>
      <w:r>
        <w:rPr>
          <w:rStyle w:val="VerbatimChar"/>
        </w:rPr>
        <w:t xml:space="preserve">clarify</w:t>
      </w:r>
      <w:r>
        <w:t xml:space="preserve">. See contract §2 for the full table.</w:t>
      </w:r>
    </w:p>
    <w:p>
      <w:pPr>
        <w:pStyle w:val="FirstParagraph"/>
      </w:pPr>
      <w:r>
        <w:t xml:space="preserve">The anti-bluff covenant (§107 / Helix §11.4) is a hard precondition of every PASS — every tier ships unit + integration + E2E + full-automation tests with real captured evidence under</w:t>
      </w:r>
      <w:r>
        <w:t xml:space="preserve"> </w:t>
      </w:r>
      <w:r>
        <w:rPr>
          <w:rStyle w:val="VerbatimChar"/>
        </w:rPr>
        <w:t xml:space="preserve">docs/qa/&lt;run-id&gt;/</w:t>
      </w:r>
      <w:r>
        <w:t xml:space="preserve"> </w:t>
      </w:r>
      <w:r>
        <w:t xml:space="preserve">(a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 paired §1.1 mutation that breaks the confidence guard or drops the clarify tag MUST FAIL).</w:t>
      </w:r>
    </w:p>
    <w:bookmarkEnd w:id="38"/>
    <w:bookmarkStart w:id="39"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9"/>
    <w:bookmarkStart w:id="40"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40"/>
    <w:bookmarkStart w:id="41"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9"/>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9"/>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9"/>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9"/>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41"/>
    <w:bookmarkStart w:id="42"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42"/>
    <w:bookmarkStart w:id="43" w:name="X13a66f9366a630b1607d5aa78347bb744647a8d"/>
    <w:p>
      <w:pPr>
        <w:pStyle w:val="Heading2"/>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43"/>
    <w:bookmarkStart w:id="44"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docs/specs/mvp/specification.V4.md</w:t>
      </w:r>
      <w:r>
        <w:t xml:space="preserve"> </w:t>
      </w:r>
      <w:r>
        <w:t xml:space="preserve">and are easy to miss because no code enforces them yet:</w:t>
      </w:r>
    </w:p>
    <w:p>
      <w:pPr>
        <w:pStyle w:val="Compact"/>
        <w:numPr>
          <w:ilvl w:val="0"/>
          <w:numId w:val="1010"/>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10"/>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10"/>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10"/>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10"/>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10"/>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10"/>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10"/>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44"/>
    <w:bookmarkStart w:id="45"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45"/>
    <w:bookmarkStart w:id="46"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11"/>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11"/>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11"/>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11"/>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6"/>
    <w:bookmarkStart w:id="47" w:name="notes-for-future-scaffolding"/>
    <w:p>
      <w:pPr>
        <w:pStyle w:val="Heading2"/>
      </w:pPr>
      <w:r>
        <w:t xml:space="preserve">Notes for future scaffolding</w:t>
      </w:r>
    </w:p>
    <w:p>
      <w:pPr>
        <w:pStyle w:val="Compact"/>
        <w:numPr>
          <w:ilvl w:val="0"/>
          <w:numId w:val="1012"/>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2"/>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2"/>
        </w:numPr>
      </w:pPr>
      <w:r>
        <w:rPr>
          <w:rStyle w:val="VerbatimChar"/>
        </w:rPr>
        <w:t xml:space="preserve">.claude/</w:t>
      </w:r>
      <w:r>
        <w:t xml:space="preserve"> </w:t>
      </w:r>
      <w:r>
        <w:t xml:space="preserve">exists but is empty; project-local Claude config can go there.</w:t>
      </w:r>
    </w:p>
    <w:p>
      <w:pPr>
        <w:pStyle w:val="Compact"/>
        <w:numPr>
          <w:ilvl w:val="0"/>
          <w:numId w:val="1012"/>
        </w:numPr>
      </w:pPr>
      <w:r>
        <w:rPr>
          <w:rStyle w:val="VerbatimChar"/>
        </w:rPr>
        <w:t xml:space="preserve">LICENSE</w:t>
      </w:r>
      <w:r>
        <w:t xml:space="preserve"> </w:t>
      </w:r>
      <w:r>
        <w:t xml:space="preserve">is present (do not overwrite without asking).</w:t>
      </w:r>
    </w:p>
    <w:p>
      <w:pPr>
        <w:pStyle w:val="Compact"/>
        <w:numPr>
          <w:ilvl w:val="0"/>
          <w:numId w:val="1012"/>
        </w:numPr>
      </w:pPr>
      <w:r>
        <w:rPr>
          <w:rStyle w:val="VerbatimChar"/>
        </w:rPr>
        <w:t xml:space="preserve">.DS_Store</w:t>
      </w:r>
      <w:r>
        <w:t xml:space="preserve"> </w:t>
      </w:r>
      <w:r>
        <w:t xml:space="preserve">is now git-ignored; do not re-add the previously-stray files.</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2026-05-31T07:49:06Z</dcterms:created>
  <dcterms:modified xsi:type="dcterms:W3CDTF">2026-05-31T07:49:06Z</dcterms:modified>
</cp:coreProperties>
</file>

<file path=docProps/custom.xml><?xml version="1.0" encoding="utf-8"?>
<Properties xmlns="http://schemas.openxmlformats.org/officeDocument/2006/custom-properties" xmlns:vt="http://schemas.openxmlformats.org/officeDocument/2006/docPropsVTypes"/>
</file>