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provider-aliases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provider’s strongest model. It reuses the</w:t>
      </w:r>
      <w:r>
        <w:t xml:space="preserve"> </w:t>
      </w:r>
      <w:r>
        <w:t xml:space="preserve">multi-account toolkit’s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1.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@musistudio/claude-code-router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t xml:space="preserve">“does this model work?”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quick-start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commands"/>
    <w:p>
      <w:pPr>
        <w:pStyle w:val="Heading2"/>
      </w:pPr>
      <w:r>
        <w:t xml:space="preserve">3. Commands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key’s name doesn’t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don’t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4" w:name="Xfe352c648e856b91430d9b48ee749702f41b09e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Code’s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provider’s most capable: reasoning-capable first, then newest, then largest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Code’s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protocol.</w:t>
      </w:r>
    </w:p>
    <w:bookmarkEnd w:id="14"/>
    <w:bookmarkStart w:id="17" w:name="config-dirs-plugins-and-shared-state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accounts’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5" w:name="cross-alias-session-visibility-v1.5.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and</w:t>
      </w:r>
      <w:r>
        <w:t xml:space="preserve"> </w:t>
      </w:r>
      <w:r>
        <w:t xml:space="preserve">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project’s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5"/>
    <w:bookmarkStart w:id="16" w:name="multi-alias-system-v1.6.0"/>
    <w:p>
      <w:pPr>
        <w:pStyle w:val="Heading3"/>
      </w:pPr>
      <w:r>
        <w:t xml:space="preserve">Multi-alias system (v1.6.0+)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</w:t>
      </w:r>
      <w:r>
        <w:t xml:space="preserve"> </w:t>
      </w:r>
      <w:r>
        <w:t xml:space="preserve">models. With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, it verifies</w:t>
      </w:r>
      <w:r>
        <w:t xml:space="preserve"> </w:t>
      </w:r>
      <w:r>
        <w:rPr>
          <w:b/>
          <w:bCs/>
        </w:rPr>
        <w:t xml:space="preserve">ALL models</w:t>
      </w:r>
      <w:r>
        <w:t xml:space="preserve"> </w:t>
      </w:r>
      <w:r>
        <w:t xml:space="preserve">for each provider 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 — each with</w:t>
      </w:r>
      <w:r>
        <w:t xml:space="preserve"> </w:t>
      </w:r>
      <w:r>
        <w:t xml:space="preserve">a different pair of strong + fast models.</w:t>
      </w:r>
    </w:p>
    <w:p>
      <w:pPr>
        <w:pStyle w:val="SourceCode"/>
      </w:pPr>
      <w:r>
        <w:rPr>
          <w:rStyle w:val="CommentTok"/>
        </w:rPr>
        <w:t xml:space="preserve"># Standard: 1 alias per provider (2 models)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Multi: verify all models, create multiple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provider’s chat endpoint:</w:t>
      </w:r>
      <w:r>
        <w:t xml:space="preserve"> </w:t>
      </w:r>
      <w:r>
        <w:t xml:space="preserve">a sentinel probe (sends</w:t>
      </w:r>
      <w:r>
        <w:t xml:space="preserve"> </w:t>
      </w:r>
      <w:r>
        <w:t xml:space="preserve">“Reply with exactly: VERIFY_OK”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  <w:r>
        <w:t xml:space="preserve"> </w:t>
      </w:r>
      <w:r>
        <w:t xml:space="preserve">- HTTP 200 with error body (JSON error wrapped in success)</w:t>
      </w:r>
      <w:r>
        <w:t xml:space="preserve"> </w:t>
      </w:r>
      <w:r>
        <w:t xml:space="preserve">- Empty response content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  <w:r>
        <w:t xml:space="preserve"> </w:t>
      </w:r>
      <w:r>
        <w:t xml:space="preserve">- Boilerplate</w:t>
      </w:r>
      <w:r>
        <w:t xml:space="preserve"> </w:t>
      </w:r>
      <w:r>
        <w:t xml:space="preserve">“I’m unable to”</w:t>
      </w:r>
      <w:r>
        <w:t xml:space="preserve"> </w:t>
      </w:r>
      <w:r>
        <w:t xml:space="preserve">responses</w:t>
      </w:r>
      <w:r>
        <w:t xml:space="preserve"> </w:t>
      </w:r>
      <w:r>
        <w:t xml:space="preserve">- Models that claim capability but don’t deliver</w:t>
      </w:r>
    </w:p>
    <w:p>
      <w:pPr>
        <w:pStyle w:val="BodyText"/>
      </w:pPr>
      <w:r>
        <w:rPr>
          <w:b/>
          <w:bCs/>
        </w:rPr>
        <w:t xml:space="preserve">Alias pairing:</w:t>
      </w:r>
      <w:r>
        <w:t xml:space="preserve"> </w:t>
      </w:r>
      <w:r>
        <w:t xml:space="preserve">- Models sorted by score, paired 2 per alias (strong + fast)</w:t>
      </w:r>
      <w:r>
        <w:t xml:space="preserve"> </w:t>
      </w:r>
      <w:r>
        <w:t xml:space="preserve">- Odd count: last model used for both positions in last alias</w:t>
      </w:r>
      <w:r>
        <w:t xml:space="preserve"> </w:t>
      </w:r>
      <w:r>
        <w:t xml:space="preserve">- Single model: used for both positions</w:t>
      </w:r>
      <w:r>
        <w:t xml:space="preserve"> </w:t>
      </w:r>
      <w:r>
        <w:t xml:space="preserve">- Default max: 5 aliases per provider (configurable)</w:t>
      </w:r>
    </w:p>
    <w:p>
      <w:pPr>
        <w:pStyle w:val="BodyText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 before tool calling was required) are ignored automatically.</w:t>
      </w:r>
    </w:p>
    <w:bookmarkEnd w:id="16"/>
    <w:bookmarkEnd w:id="17"/>
    <w:bookmarkStart w:id="19" w:name="overrides-scriptsprovidersoverrides.json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"https://api.deepseek.com/anthropic"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"strong_model"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"deepseek-reasoner"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"fast_model"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"deepseek-chat"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promote DeepSeek to its native Anthropic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/anthropic</w:t>
      </w:r>
      <w:r>
        <w:t xml:space="preserve">) instead of routing it, or give it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all</w:t>
      </w:r>
      <w:r>
        <w:t xml:space="preserve"> </w:t>
      </w:r>
      <w:r>
        <w:t xml:space="preserve">without touching any code.</w:t>
      </w:r>
    </w:p>
    <w:bookmarkStart w:id="18" w:name="scriptsproviderskey-aliases.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 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8"/>
    <w:bookmarkEnd w:id="19"/>
    <w:bookmarkStart w:id="20" w:name="Xda89547e46a967f7e09f7e27829f6c07b539332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t xml:space="preserve">For an additional authoritative layer (</w:t>
      </w:r>
      <w:r>
        <w:t xml:space="preserve">“can this model genuinely see and</w:t>
      </w:r>
      <w:r>
        <w:t xml:space="preserve"> </w:t>
      </w:r>
      <w:r>
        <w:t xml:space="preserve">describe my code?”</w:t>
      </w:r>
      <w:r>
        <w:t xml:space="preserve">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bookmarkEnd w:id="20"/>
    <w:bookmarkStart w:id="21" w:name="known-limitation-default-session-color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the installed Claude Code (2.1.195)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1"/>
    <w:bookmarkStart w:id="22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ccr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isn’t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didn’t become an alias</w:t>
            </w:r>
          </w:p>
        </w:tc>
        <w:tc>
          <w:tcPr/>
          <w:p>
            <w:pPr>
              <w:pStyle w:val="Compact"/>
            </w:pPr>
            <w:r>
              <w:t xml:space="preserve">It’s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</w:tbl>
    <w:bookmarkEnd w:id="22"/>
    <w:bookmarkStart w:id="23" w:name="X95848c1aa04d4046f472aca1aed903c5323c36d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check against each provider’s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3"/>
    <w:bookmarkStart w:id="24" w:name="command-quick-reference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native provider -&gt; claude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</w:p>
    <w:bookmarkEnd w:id="24"/>
    <w:bookmarkStart w:id="63" w:name="individual-provider-notes"/>
    <w:p>
      <w:pPr>
        <w:pStyle w:val="Heading2"/>
      </w:pPr>
      <w:r>
        <w:t xml:space="preserve">12. Individual provider notes</w:t>
      </w:r>
    </w:p>
    <w:bookmarkStart w:id="25" w:name="X68b0e2addb8714aa282cb1f9b649beb84601d2b"/>
    <w:p>
      <w:pPr>
        <w:pStyle w:val="Heading3"/>
      </w:pPr>
      <w:r>
        <w:t xml:space="preserve">Kimi Code — OAuth subscription (kimi-for-coding, kimi-k3, kimi-k2p7, kimi-for-coding-highspeed)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kimi_proxy</w:t>
      </w:r>
      <w:r>
        <w:t xml:space="preserve">: k3 enforces a</w:t>
      </w:r>
      <w:r>
        <w:t xml:space="preserve"> </w:t>
      </w:r>
      <w:r>
        <w:t xml:space="preserve">“moonshot-flavored”</w:t>
      </w:r>
      <w:r>
        <w:t xml:space="preserve"> </w:t>
      </w:r>
      <w:r>
        <w:t xml:space="preserve">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Code’s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launches route through a local normalizing</w:t>
      </w:r>
      <w:r>
        <w:t xml:space="preserve"> </w:t>
      </w:r>
      <w:r>
        <w:t xml:space="preserve">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25"/>
    <w:bookmarkStart w:id="31" w:name="z.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AI’s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27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27"/>
    <w:bookmarkStart w:id="28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28"/>
    <w:bookmarkStart w:id="29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0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29"/>
    <w:bookmarkStart w:id="30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0"/>
    <w:bookmarkEnd w:id="31"/>
    <w:bookmarkStart w:id="38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2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Xiaomi’s LLM platform. Unlike most</w:t>
      </w:r>
      <w:r>
        <w:t xml:space="preserve"> </w:t>
      </w:r>
      <w:r>
        <w:t xml:space="preserve">OpenAI-compatible providers in this toolkit, MiMo exposes a 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 that accepts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 </w:t>
      </w:r>
      <w:r>
        <w:t xml:space="preserve">and</w:t>
      </w:r>
      <w:r>
        <w:t xml:space="preserve"> </w:t>
      </w:r>
      <w:r>
        <w:t xml:space="preserve">returns native Anthropic-format responses. Because of this,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— Claude Code talks to MiMo directly 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dependency, the same way the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alias works.</w:t>
      </w:r>
    </w:p>
    <w:bookmarkStart w:id="33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provider’s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native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(the Anthropic-native</w:t>
      </w:r>
      <w:r>
        <w:t xml:space="preserve"> </w:t>
      </w:r>
      <w:r>
        <w:t xml:space="preserve">endpoint, overriding the catalog’s OpenAI-compat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URL)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mimo-v2-flash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bookmarkEnd w:id="33"/>
    <w:bookmarkStart w:id="34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MiMo’s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cheapest tier (alias fast)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4"/>
    <w:bookmarkStart w:id="35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1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1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35"/>
    <w:bookmarkStart w:id="36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36"/>
    <w:bookmarkStart w:id="37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37"/>
    <w:bookmarkEnd w:id="38"/>
    <w:bookmarkStart w:id="46" w:name="opencode-zen-opencode"/>
    <w:p>
      <w:pPr>
        <w:pStyle w:val="Heading3"/>
      </w:pPr>
      <w:r>
        <w:t xml:space="preserve">OpenCode Zen (opencode)</w:t>
      </w:r>
    </w:p>
    <w:p>
      <w:pPr>
        <w:pStyle w:val="FirstParagraph"/>
      </w:pPr>
      <w:hyperlink r:id="rId3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OpenCode’s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0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0"/>
    <w:bookmarkStart w:id="41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1"/>
    <w:bookmarkStart w:id="42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4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4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2"/>
    <w:bookmarkStart w:id="43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5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3"/>
    <w:bookmarkStart w:id="44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</w:p>
    <w:bookmarkEnd w:id="44"/>
    <w:bookmarkStart w:id="45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Zen’s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16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OpenCode’s documentation.</w:t>
      </w:r>
    </w:p>
    <w:p>
      <w:pPr>
        <w:pStyle w:val="Compact"/>
        <w:numPr>
          <w:ilvl w:val="0"/>
          <w:numId w:val="1016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45"/>
    <w:bookmarkEnd w:id="46"/>
    <w:bookmarkStart w:id="53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47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48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bookmarkEnd w:id="48"/>
    <w:bookmarkStart w:id="49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 https://chutes.ai. The API key and configuration are</w:t>
      </w:r>
      <w:r>
        <w:t xml:space="preserve"> </w:t>
      </w:r>
      <w:r>
        <w:t xml:space="preserve">correct, but requests will return</w:t>
      </w:r>
      <w:r>
        <w:t xml:space="preserve"> </w:t>
      </w:r>
      <w:r>
        <w:t xml:space="preserve">“Quota exceeded”</w:t>
      </w:r>
      <w:r>
        <w:t xml:space="preserve"> </w:t>
      </w:r>
      <w:r>
        <w:t xml:space="preserve">if the account balance is $0.</w:t>
      </w:r>
    </w:p>
    <w:bookmarkEnd w:id="49"/>
    <w:bookmarkStart w:id="50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1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Fund your Chutes account at https://chutes.ai.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0"/>
    <w:bookmarkStart w:id="51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1"/>
    <w:bookmarkStart w:id="52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19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19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19"/>
        </w:numPr>
      </w:pPr>
      <w:r>
        <w:t xml:space="preserve">OpenAI-compatible format confirmed</w:t>
      </w:r>
    </w:p>
    <w:bookmarkEnd w:id="52"/>
    <w:bookmarkEnd w:id="53"/>
    <w:bookmarkStart w:id="62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4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55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).</w:t>
      </w:r>
    </w:p>
    <w:bookmarkEnd w:id="55"/>
    <w:bookmarkStart w:id="56" w:name="aliases"/>
    <w:p>
      <w:pPr>
        <w:pStyle w:val="Heading4"/>
      </w:pPr>
      <w:r>
        <w:t xml:space="preserve">Aliases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poe2</w:t>
            </w:r>
          </w:p>
        </w:tc>
        <w:tc>
          <w:tcPr/>
          <w:p>
            <w:pPr>
              <w:pStyle w:val="Compact"/>
            </w:pPr>
            <w:r>
              <w:t xml:space="preserve">gpt-5.5</w:t>
            </w:r>
          </w:p>
        </w:tc>
        <w:tc>
          <w:tcPr/>
          <w:p>
            <w:pPr>
              <w:pStyle w:val="Compact"/>
            </w:pPr>
            <w:r>
              <w:t xml:space="preserve">deepseek-v4-pro-e</w:t>
            </w:r>
          </w:p>
        </w:tc>
        <w:tc>
          <w:tcPr/>
          <w:p>
            <w:pPr>
              <w:pStyle w:val="Compact"/>
            </w:pPr>
            <w:r>
              <w:t xml:space="preserve">GPT-focused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poe3</w:t>
            </w:r>
          </w:p>
        </w:tc>
        <w:tc>
          <w:tcPr/>
          <w:p>
            <w:pPr>
              <w:pStyle w:val="Compact"/>
            </w:pPr>
            <w:r>
              <w:t xml:space="preserve">grok-4</w:t>
            </w:r>
          </w:p>
        </w:tc>
        <w:tc>
          <w:tcPr/>
          <w:p>
            <w:pPr>
              <w:pStyle w:val="Compact"/>
            </w:pPr>
            <w:r>
              <w:t xml:space="preserve">gemini-3.1-pro</w:t>
            </w:r>
          </w:p>
        </w:tc>
        <w:tc>
          <w:tcPr/>
          <w:p>
            <w:pPr>
              <w:pStyle w:val="Compact"/>
            </w:pPr>
            <w:r>
              <w:t xml:space="preserve">Alternative providers</w:t>
            </w:r>
          </w:p>
        </w:tc>
      </w:tr>
    </w:tbl>
    <w:bookmarkEnd w:id="56"/>
    <w:bookmarkStart w:id="57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132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57"/>
    <w:bookmarkStart w:id="58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58"/>
    <w:bookmarkStart w:id="59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59"/>
    <w:bookmarkStart w:id="60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poe2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gpt-5.5 (via ccr)</w:t>
      </w:r>
      <w:r>
        <w:br/>
      </w:r>
      <w:r>
        <w:rPr>
          <w:rStyle w:val="ExtensionTok"/>
        </w:rPr>
        <w:t xml:space="preserve">poe3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grok-4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</w:p>
    <w:bookmarkEnd w:id="60"/>
    <w:bookmarkStart w:id="61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2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2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2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2"/>
        </w:numPr>
      </w:pPr>
      <w:r>
        <w:t xml:space="preserve">OpenAI-compatible format confirmed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chutes.ai" TargetMode="External" /><Relationship Type="http://schemas.openxmlformats.org/officeDocument/2006/relationships/hyperlink" Id="rId32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9" Target="https://opencode.ai/zen" TargetMode="External" /><Relationship Type="http://schemas.openxmlformats.org/officeDocument/2006/relationships/hyperlink" Id="rId54" Target="https://poe.com" TargetMode="External" /><Relationship Type="http://schemas.openxmlformats.org/officeDocument/2006/relationships/hyperlink" Id="rId26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hutes.ai" TargetMode="External" /><Relationship Type="http://schemas.openxmlformats.org/officeDocument/2006/relationships/hyperlink" Id="rId32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9" Target="https://opencode.ai/zen" TargetMode="External" /><Relationship Type="http://schemas.openxmlformats.org/officeDocument/2006/relationships/hyperlink" Id="rId54" Target="https://poe.com" TargetMode="External" /><Relationship Type="http://schemas.openxmlformats.org/officeDocument/2006/relationships/hyperlink" Id="rId26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2026-07-18T13:00:42Z</dcterms:created>
  <dcterms:modified xsi:type="dcterms:W3CDTF">2026-07-18T13:00:42Z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